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fontTable.xml" ContentType="application/vnd.openxmlformats-officedocument.wordprocessingml.fontTable+xml"/>
  <Override PartName="/word/_rels/document.xml.rels" ContentType="application/vnd.openxmlformats-package.relationships+xml"/>
  <Override PartName="/word/settings.xml" ContentType="application/vnd.openxmlformats-officedocument.wordprocessingml.settings+xml"/>
  <Override PartName="/word/media/image1.gif" ContentType="image/gif"/>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footer1.xml" ContentType="application/vnd.openxmlformats-officedocument.wordprocessingml.footer+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cs="Arial"/>
          <w:b/>
          <w:b/>
          <w:bCs/>
          <w:i/>
          <w:i/>
          <w:iCs/>
          <w:color w:val="FF0000"/>
          <w:szCs w:val="20"/>
        </w:rPr>
      </w:pPr>
      <w:r>
        <w:rPr>
          <w:rFonts w:cs="Arial"/>
          <w:b/>
          <w:bCs/>
          <w:i/>
          <w:iCs/>
          <w:color w:val="FF0000"/>
          <w:szCs w:val="20"/>
        </w:rPr>
      </w:r>
    </w:p>
    <w:p>
      <w:pPr>
        <w:pStyle w:val="Normal"/>
        <w:jc w:val="center"/>
        <w:rPr>
          <w:rFonts w:ascii="Times" w:hAnsi="Times" w:cs="Times"/>
          <w:sz w:val="24"/>
        </w:rPr>
      </w:pPr>
      <w:r>
        <w:rPr/>
        <w:drawing>
          <wp:inline distT="0" distB="0" distL="0" distR="0">
            <wp:extent cx="828675" cy="790575"/>
            <wp:effectExtent l="0" t="0" r="0" b="0"/>
            <wp:docPr id="1" name="Imagem 2" descr="Descrição: http://sped.72bimtz.eb.mil.br/sped/design/eb/imagens/armas_nacionai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descr="Descrição: http://sped.72bimtz.eb.mil.br/sped/design/eb/imagens/armas_nacionais.gif"/>
                    <pic:cNvPicPr>
                      <a:picLocks noChangeAspect="1" noChangeArrowheads="1"/>
                    </pic:cNvPicPr>
                  </pic:nvPicPr>
                  <pic:blipFill>
                    <a:blip r:embed="rId2"/>
                    <a:stretch>
                      <a:fillRect/>
                    </a:stretch>
                  </pic:blipFill>
                  <pic:spPr bwMode="auto">
                    <a:xfrm>
                      <a:off x="0" y="0"/>
                      <a:ext cx="828675" cy="790575"/>
                    </a:xfrm>
                    <a:prstGeom prst="rect">
                      <a:avLst/>
                    </a:prstGeom>
                  </pic:spPr>
                </pic:pic>
              </a:graphicData>
            </a:graphic>
          </wp:inline>
        </w:drawing>
      </w:r>
    </w:p>
    <w:p>
      <w:pPr>
        <w:pStyle w:val="NoSpacing"/>
        <w:numPr>
          <w:ilvl w:val="0"/>
          <w:numId w:val="6"/>
        </w:numPr>
        <w:jc w:val="center"/>
        <w:rPr>
          <w:rFonts w:ascii="Times" w:hAnsi="Times" w:cs="Times"/>
          <w:b/>
          <w:b/>
          <w:sz w:val="24"/>
          <w:szCs w:val="24"/>
        </w:rPr>
      </w:pPr>
      <w:r>
        <w:rPr>
          <w:rFonts w:cs="Times" w:ascii="Times" w:hAnsi="Times"/>
          <w:b/>
          <w:sz w:val="24"/>
          <w:szCs w:val="24"/>
        </w:rPr>
        <w:t>MINISTÉRIO DA DEFESA</w:t>
      </w:r>
    </w:p>
    <w:p>
      <w:pPr>
        <w:pStyle w:val="NoSpacing"/>
        <w:numPr>
          <w:ilvl w:val="0"/>
          <w:numId w:val="6"/>
        </w:numPr>
        <w:jc w:val="center"/>
        <w:rPr>
          <w:rFonts w:ascii="Times" w:hAnsi="Times" w:cs="Times"/>
          <w:b/>
          <w:b/>
          <w:sz w:val="24"/>
          <w:szCs w:val="24"/>
        </w:rPr>
      </w:pPr>
      <w:r>
        <w:rPr>
          <w:rFonts w:cs="Times" w:ascii="Times" w:hAnsi="Times"/>
          <w:b/>
          <w:sz w:val="24"/>
          <w:szCs w:val="24"/>
        </w:rPr>
        <w:t>EXÉRCITO BRASILEIRO</w:t>
      </w:r>
    </w:p>
    <w:p>
      <w:pPr>
        <w:pStyle w:val="NoSpacing"/>
        <w:numPr>
          <w:ilvl w:val="0"/>
          <w:numId w:val="6"/>
        </w:numPr>
        <w:jc w:val="center"/>
        <w:rPr>
          <w:rFonts w:ascii="Times" w:hAnsi="Times" w:cs="Times"/>
          <w:b/>
          <w:b/>
          <w:sz w:val="24"/>
          <w:szCs w:val="24"/>
        </w:rPr>
      </w:pPr>
      <w:r>
        <w:rPr>
          <w:rFonts w:cs="Times" w:ascii="Times" w:hAnsi="Times"/>
          <w:b/>
          <w:sz w:val="24"/>
          <w:szCs w:val="24"/>
        </w:rPr>
        <w:t>7</w:t>
      </w:r>
      <w:r>
        <w:rPr>
          <w:rFonts w:cs="Times" w:ascii="Times" w:hAnsi="Times"/>
          <w:b/>
          <w:strike/>
          <w:sz w:val="24"/>
          <w:szCs w:val="24"/>
        </w:rPr>
        <w:t>º</w:t>
      </w:r>
      <w:r>
        <w:rPr>
          <w:rFonts w:cs="Times" w:ascii="Times" w:hAnsi="Times"/>
          <w:b/>
          <w:sz w:val="24"/>
          <w:szCs w:val="24"/>
        </w:rPr>
        <w:t xml:space="preserve"> GRUPO DE ARTILHARIA DE CAMPANHA</w:t>
      </w:r>
    </w:p>
    <w:p>
      <w:pPr>
        <w:pStyle w:val="NoSpacing"/>
        <w:numPr>
          <w:ilvl w:val="0"/>
          <w:numId w:val="6"/>
        </w:numPr>
        <w:jc w:val="center"/>
        <w:rPr>
          <w:rFonts w:ascii="Times" w:hAnsi="Times" w:cs="Times"/>
          <w:b/>
          <w:b/>
          <w:sz w:val="24"/>
          <w:szCs w:val="24"/>
          <w:lang w:val="en-US"/>
        </w:rPr>
      </w:pPr>
      <w:r>
        <w:rPr>
          <w:rFonts w:cs="Times" w:ascii="Times" w:hAnsi="Times"/>
          <w:b/>
          <w:sz w:val="24"/>
          <w:szCs w:val="24"/>
          <w:lang w:val="en-US"/>
        </w:rPr>
        <w:t>(1</w:t>
      </w:r>
      <w:r>
        <w:rPr>
          <w:rFonts w:cs="Times" w:ascii="Times" w:hAnsi="Times"/>
          <w:b/>
          <w:strike/>
          <w:sz w:val="24"/>
          <w:szCs w:val="24"/>
          <w:lang w:val="en-US"/>
        </w:rPr>
        <w:t>º</w:t>
      </w:r>
      <w:r>
        <w:rPr>
          <w:rFonts w:cs="Times" w:ascii="Times" w:hAnsi="Times"/>
          <w:b/>
          <w:sz w:val="24"/>
          <w:szCs w:val="24"/>
          <w:lang w:val="en-US"/>
        </w:rPr>
        <w:t xml:space="preserve"> G Ind Art Ms - 1942)</w:t>
      </w:r>
    </w:p>
    <w:p>
      <w:pPr>
        <w:pStyle w:val="NoSpacing"/>
        <w:numPr>
          <w:ilvl w:val="0"/>
          <w:numId w:val="6"/>
        </w:numPr>
        <w:jc w:val="center"/>
        <w:rPr>
          <w:rFonts w:ascii="Times" w:hAnsi="Times" w:cs="Times"/>
          <w:b/>
          <w:b/>
          <w:sz w:val="24"/>
          <w:szCs w:val="24"/>
        </w:rPr>
      </w:pPr>
      <w:r>
        <w:rPr>
          <w:rFonts w:cs="Times" w:ascii="Times" w:hAnsi="Times"/>
          <w:b/>
          <w:sz w:val="24"/>
          <w:szCs w:val="24"/>
        </w:rPr>
        <w:t>REGIMENTO OLINDA</w:t>
      </w:r>
    </w:p>
    <w:p>
      <w:pPr>
        <w:pStyle w:val="NoSpacing"/>
        <w:numPr>
          <w:ilvl w:val="0"/>
          <w:numId w:val="6"/>
        </w:numPr>
        <w:jc w:val="center"/>
        <w:rPr>
          <w:rFonts w:ascii="Times" w:hAnsi="Times" w:cs="Times"/>
          <w:b/>
          <w:b/>
          <w:sz w:val="24"/>
          <w:szCs w:val="24"/>
        </w:rPr>
      </w:pPr>
      <w:r>
        <w:rPr>
          <w:rFonts w:cs="Times" w:ascii="Times" w:hAnsi="Times"/>
          <w:b/>
          <w:sz w:val="24"/>
          <w:szCs w:val="24"/>
        </w:rPr>
      </w:r>
    </w:p>
    <w:p>
      <w:pPr>
        <w:pStyle w:val="Normal"/>
        <w:spacing w:lineRule="auto" w:line="276"/>
        <w:jc w:val="center"/>
        <w:rPr>
          <w:rFonts w:cs="Arial"/>
          <w:b/>
          <w:b/>
          <w:bCs/>
          <w:color w:val="000000" w:themeColor="text1"/>
          <w:szCs w:val="20"/>
        </w:rPr>
      </w:pPr>
      <w:r>
        <w:rPr>
          <w:rFonts w:cs="Arial"/>
          <w:b/>
          <w:bCs/>
          <w:color w:val="000000" w:themeColor="text1"/>
          <w:szCs w:val="20"/>
        </w:rPr>
        <w:t xml:space="preserve">AVISO DE DISPENSA ELETRÔNICA </w:t>
      </w:r>
      <w:r>
        <w:rPr>
          <w:rFonts w:cs="Arial"/>
          <w:b/>
          <w:bCs/>
          <w:color w:val="FF0000"/>
          <w:szCs w:val="20"/>
        </w:rPr>
        <w:t>Nº ....../20.....</w:t>
      </w:r>
    </w:p>
    <w:p>
      <w:pPr>
        <w:pStyle w:val="Normal"/>
        <w:spacing w:lineRule="auto" w:line="276" w:before="0" w:after="120"/>
        <w:ind w:right="-15" w:hanging="0"/>
        <w:jc w:val="center"/>
        <w:rPr>
          <w:rFonts w:cs="Arial"/>
          <w:b/>
          <w:b/>
          <w:bCs/>
          <w:color w:val="000000" w:themeColor="text1"/>
          <w:szCs w:val="20"/>
        </w:rPr>
      </w:pPr>
      <w:r>
        <w:rPr>
          <w:rFonts w:cs="Arial"/>
          <w:b/>
          <w:bCs/>
          <w:color w:val="000000" w:themeColor="text1"/>
          <w:szCs w:val="20"/>
        </w:rPr>
        <w:t xml:space="preserve">(Processo Administrativo </w:t>
      </w:r>
      <w:r>
        <w:rPr>
          <w:rFonts w:cs="Arial"/>
          <w:b/>
          <w:bCs/>
          <w:color w:val="FF0000"/>
          <w:szCs w:val="20"/>
        </w:rPr>
        <w:t>n.°...........)</w:t>
      </w:r>
    </w:p>
    <w:p>
      <w:pPr>
        <w:pStyle w:val="Normal"/>
        <w:rPr>
          <w:rFonts w:cs="Arial"/>
        </w:rPr>
      </w:pPr>
      <w:r>
        <w:rPr>
          <w:rFonts w:cs="Arial"/>
        </w:rPr>
      </w:r>
    </w:p>
    <w:p>
      <w:pPr>
        <w:pStyle w:val="Normal"/>
        <w:snapToGrid w:val="false"/>
        <w:spacing w:lineRule="auto" w:line="276" w:before="0" w:after="120"/>
        <w:ind w:right="-30" w:firstLine="540"/>
        <w:jc w:val="both"/>
        <w:rPr>
          <w:rFonts w:cs="Arial"/>
          <w:i/>
          <w:i/>
          <w:szCs w:val="20"/>
        </w:rPr>
      </w:pPr>
      <w:r>
        <w:rPr>
          <w:rFonts w:cs="Arial"/>
          <w:szCs w:val="20"/>
        </w:rPr>
        <w:t>Torna-se público que o 7º Grupo de Artilhara de Campanha, por meio da</w:t>
      </w:r>
      <w:r>
        <w:rPr>
          <w:rFonts w:eastAsia="Arial" w:cs="Arial"/>
          <w:szCs w:val="20"/>
        </w:rPr>
        <w:t xml:space="preserve"> Seção de Aquisições, Licitações e Contratos,</w:t>
      </w:r>
      <w:r>
        <w:rPr>
          <w:rFonts w:cs="Arial"/>
          <w:szCs w:val="20"/>
        </w:rPr>
        <w:t xml:space="preserve"> realizará Dispensa Eletrônica, </w:t>
      </w:r>
      <w:r>
        <w:rPr>
          <w:rFonts w:cs="Arial"/>
          <w:bCs/>
          <w:szCs w:val="20"/>
        </w:rPr>
        <w:t>com critério de julgamento</w:t>
      </w:r>
      <w:r>
        <w:rPr>
          <w:rFonts w:cs="Arial"/>
          <w:b/>
          <w:bCs/>
          <w:szCs w:val="20"/>
        </w:rPr>
        <w:t xml:space="preserve"> </w:t>
      </w:r>
      <w:r>
        <w:rPr>
          <w:rFonts w:cs="Arial"/>
          <w:iCs/>
          <w:szCs w:val="20"/>
        </w:rPr>
        <w:t>menor preço</w:t>
      </w:r>
      <w:r>
        <w:rPr>
          <w:rFonts w:cs="Arial"/>
          <w:b/>
          <w:bCs/>
          <w:iCs/>
          <w:szCs w:val="20"/>
        </w:rPr>
        <w:t xml:space="preserve">, </w:t>
      </w:r>
      <w:r>
        <w:rPr>
          <w:rFonts w:cs="Arial"/>
          <w:iCs/>
          <w:szCs w:val="20"/>
        </w:rPr>
        <w:t xml:space="preserve">na hipótese do art. 75, inciso </w:t>
      </w:r>
      <w:r>
        <w:rPr>
          <w:rFonts w:cs="Arial"/>
          <w:b/>
          <w:iCs/>
          <w:szCs w:val="20"/>
        </w:rPr>
        <w:t>II</w:t>
      </w:r>
      <w:r>
        <w:rPr>
          <w:rFonts w:cs="Arial"/>
          <w:i/>
          <w:iCs/>
          <w:szCs w:val="20"/>
        </w:rPr>
        <w:t>,</w:t>
      </w:r>
      <w:r>
        <w:rPr>
          <w:rFonts w:cs="Arial"/>
          <w:szCs w:val="20"/>
        </w:rPr>
        <w:t xml:space="preserve"> </w:t>
      </w:r>
      <w:r>
        <w:rPr>
          <w:rFonts w:cs="Arial"/>
          <w:bCs/>
          <w:szCs w:val="20"/>
        </w:rPr>
        <w:t>nos termos da Lei nº 14.133, de 1º de abril de 2021, da Instrução Normativa SEGES/ME nº 67/2021 e demais legislação aplicável</w:t>
      </w:r>
      <w:r>
        <w:rPr>
          <w:rFonts w:cs="Arial"/>
          <w:szCs w:val="20"/>
        </w:rPr>
        <w:t>.</w:t>
      </w:r>
    </w:p>
    <w:p>
      <w:pPr>
        <w:pStyle w:val="Normal"/>
        <w:spacing w:lineRule="auto" w:line="276"/>
        <w:jc w:val="both"/>
        <w:rPr/>
      </w:pPr>
      <w:r>
        <w:rPr>
          <w:rFonts w:cs="Arial"/>
          <w:color w:val="000000" w:themeColor="text1"/>
          <w:szCs w:val="20"/>
        </w:rPr>
        <w:t>Data da sessão: 1</w:t>
      </w:r>
      <w:r>
        <w:rPr>
          <w:rFonts w:cs="Arial"/>
          <w:color w:val="000000" w:themeColor="text1"/>
          <w:szCs w:val="20"/>
        </w:rPr>
        <w:t>5</w:t>
      </w:r>
      <w:r>
        <w:rPr>
          <w:rFonts w:cs="Arial"/>
          <w:color w:val="000000" w:themeColor="text1"/>
          <w:szCs w:val="20"/>
        </w:rPr>
        <w:t xml:space="preserve">/10/2021 </w:t>
      </w:r>
    </w:p>
    <w:p>
      <w:pPr>
        <w:pStyle w:val="Normal"/>
        <w:rPr>
          <w:rFonts w:cs="Arial"/>
          <w:color w:val="000000" w:themeColor="text1"/>
          <w:szCs w:val="20"/>
        </w:rPr>
      </w:pPr>
      <w:r>
        <w:rPr>
          <w:rFonts w:cs="Arial"/>
          <w:color w:val="000000" w:themeColor="text1"/>
          <w:szCs w:val="20"/>
        </w:rPr>
        <w:t>Link: https://www.gov.br/compras/pt-br/</w:t>
      </w:r>
    </w:p>
    <w:p>
      <w:pPr>
        <w:pStyle w:val="Normal"/>
        <w:rPr>
          <w:rFonts w:cs="Arial"/>
          <w:szCs w:val="20"/>
        </w:rPr>
      </w:pPr>
      <w:r>
        <w:rPr>
          <w:rFonts w:cs="Arial"/>
          <w:color w:val="000000" w:themeColor="text1"/>
          <w:szCs w:val="20"/>
        </w:rPr>
        <w:t>Horário da Fase de Lances: 0</w:t>
      </w:r>
      <w:r>
        <w:rPr>
          <w:rFonts w:cs="Arial"/>
          <w:szCs w:val="20"/>
        </w:rPr>
        <w:t>8:00 às 14:00 horas</w:t>
      </w:r>
    </w:p>
    <w:p>
      <w:pPr>
        <w:pStyle w:val="PADRO"/>
        <w:keepNext w:val="false"/>
        <w:widowControl/>
        <w:shd w:val="clear" w:color="auto" w:fill="auto"/>
        <w:spacing w:before="120" w:after="120"/>
        <w:ind w:hanging="0"/>
        <w:rPr>
          <w:rFonts w:ascii="Arial" w:hAnsi="Arial" w:cs="Arial"/>
          <w:b/>
          <w:b/>
        </w:rPr>
      </w:pPr>
      <w:r>
        <w:rPr>
          <w:rFonts w:cs="Arial" w:ascii="Arial" w:hAnsi="Arial"/>
          <w:b/>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OBJETO DA CONTRATAÇÃO DIRETA</w:t>
      </w:r>
    </w:p>
    <w:p>
      <w:pPr>
        <w:pStyle w:val="PADRO"/>
        <w:keepNext w:val="false"/>
        <w:widowControl/>
        <w:numPr>
          <w:ilvl w:val="1"/>
          <w:numId w:val="1"/>
        </w:numPr>
        <w:shd w:val="clear" w:color="auto" w:fill="auto"/>
        <w:spacing w:before="120" w:after="120"/>
        <w:rPr/>
      </w:pPr>
      <w:r>
        <w:rPr>
          <w:rFonts w:cs="Arial" w:ascii="Arial" w:hAnsi="Arial"/>
          <w:color w:val="000000" w:themeColor="text1"/>
          <w:szCs w:val="20"/>
        </w:rPr>
        <w:t xml:space="preserve">O objeto da presente dispensa é a escolha da proposta mais vantajosa para a </w:t>
      </w:r>
      <w:r>
        <w:rPr>
          <w:rFonts w:cs="Arial" w:ascii="Arial" w:hAnsi="Arial"/>
          <w:szCs w:val="20"/>
        </w:rPr>
        <w:t>contratação</w:t>
      </w:r>
      <w:r>
        <w:rPr>
          <w:rFonts w:cs="Arial" w:ascii="Arial" w:hAnsi="Arial"/>
          <w:color w:val="000000" w:themeColor="text1"/>
          <w:szCs w:val="20"/>
        </w:rPr>
        <w:t xml:space="preserve"> por dispensa de licitação </w:t>
      </w:r>
      <w:r>
        <w:rPr>
          <w:rFonts w:cs="Arial" w:ascii="Arial" w:hAnsi="Arial"/>
          <w:b/>
          <w:bCs/>
          <w:szCs w:val="20"/>
        </w:rPr>
        <w:t>de material para confecção de suporte de alvos</w:t>
      </w:r>
      <w:r>
        <w:rPr>
          <w:rFonts w:cs="Arial" w:ascii="Arial" w:hAnsi="Arial"/>
          <w:b/>
          <w:bCs/>
          <w:color w:val="000000" w:themeColor="text1"/>
          <w:szCs w:val="20"/>
        </w:rPr>
        <w:t>,</w:t>
      </w:r>
      <w:r>
        <w:rPr>
          <w:rFonts w:cs="Arial" w:ascii="Arial" w:hAnsi="Arial"/>
          <w:color w:val="000000" w:themeColor="text1"/>
          <w:szCs w:val="20"/>
        </w:rPr>
        <w:t xml:space="preserve"> conforme condições, quantidades e exigências estabelecidas neste Aviso de Contratação Direta e seus anexos.</w:t>
      </w:r>
    </w:p>
    <w:p>
      <w:pPr>
        <w:pStyle w:val="PADRO"/>
        <w:keepNext w:val="false"/>
        <w:widowControl/>
        <w:numPr>
          <w:ilvl w:val="1"/>
          <w:numId w:val="1"/>
        </w:numPr>
        <w:shd w:val="clear" w:color="auto" w:fill="auto"/>
        <w:spacing w:before="120" w:after="120"/>
        <w:rPr>
          <w:rFonts w:ascii="Arial" w:hAnsi="Arial" w:cs="Arial"/>
          <w:szCs w:val="20"/>
        </w:rPr>
      </w:pPr>
      <w:r>
        <w:rPr>
          <w:rFonts w:cs="Arial" w:ascii="Arial" w:hAnsi="Arial"/>
          <w:szCs w:val="20"/>
        </w:rPr>
        <w:t>A contratação será dividida em itens</w:t>
      </w:r>
      <w:r>
        <w:rPr>
          <w:rFonts w:cs="Arial" w:ascii="Arial" w:hAnsi="Arial"/>
          <w:b/>
          <w:bCs/>
          <w:szCs w:val="20"/>
        </w:rPr>
        <w:t>,</w:t>
      </w:r>
      <w:r>
        <w:rPr>
          <w:rFonts w:cs="Arial" w:ascii="Arial" w:hAnsi="Arial"/>
          <w:szCs w:val="20"/>
        </w:rPr>
        <w:t xml:space="preserve"> conforme tabela constante abaixo.</w:t>
      </w:r>
    </w:p>
    <w:tbl>
      <w:tblPr>
        <w:tblW w:w="9781" w:type="dxa"/>
        <w:jc w:val="left"/>
        <w:tblInd w:w="-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noVBand="1" w:noHBand="0" w:lastColumn="0" w:firstColumn="1" w:lastRow="0" w:firstRow="1"/>
      </w:tblPr>
      <w:tblGrid>
        <w:gridCol w:w="641"/>
        <w:gridCol w:w="567"/>
        <w:gridCol w:w="2552"/>
        <w:gridCol w:w="917"/>
        <w:gridCol w:w="994"/>
        <w:gridCol w:w="849"/>
        <w:gridCol w:w="993"/>
        <w:gridCol w:w="1134"/>
        <w:gridCol w:w="1133"/>
      </w:tblGrid>
      <w:tr>
        <w:trPr/>
        <w:tc>
          <w:tcPr>
            <w:tcW w:w="6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jc w:val="center"/>
              <w:rPr>
                <w:rFonts w:cs="Arial"/>
                <w:b/>
                <w:b/>
                <w:bCs/>
                <w:color w:val="000000"/>
                <w:sz w:val="14"/>
                <w:szCs w:val="14"/>
              </w:rPr>
            </w:pPr>
            <w:r>
              <w:rPr>
                <w:rFonts w:cs="Arial"/>
                <w:b/>
                <w:bCs/>
                <w:color w:val="000000"/>
                <w:sz w:val="14"/>
                <w:szCs w:val="14"/>
              </w:rPr>
              <w:t>LOTE</w:t>
            </w:r>
          </w:p>
        </w:tc>
        <w:tc>
          <w:tcPr>
            <w:tcW w:w="56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jc w:val="center"/>
              <w:rPr>
                <w:rFonts w:cs="Arial"/>
                <w:b/>
                <w:b/>
                <w:bCs/>
                <w:color w:val="000000"/>
                <w:sz w:val="14"/>
                <w:szCs w:val="14"/>
              </w:rPr>
            </w:pPr>
            <w:r>
              <w:rPr>
                <w:rFonts w:cs="Arial"/>
                <w:b/>
                <w:bCs/>
                <w:color w:val="000000"/>
                <w:sz w:val="14"/>
                <w:szCs w:val="14"/>
              </w:rPr>
              <w:t>ITEM</w:t>
            </w:r>
          </w:p>
          <w:p>
            <w:pPr>
              <w:pStyle w:val="Normal"/>
              <w:widowControl w:val="false"/>
              <w:suppressAutoHyphens w:val="true"/>
              <w:jc w:val="center"/>
              <w:rPr>
                <w:rFonts w:cs="Arial"/>
                <w:b/>
                <w:b/>
                <w:color w:val="000000"/>
                <w:sz w:val="14"/>
                <w:szCs w:val="14"/>
              </w:rPr>
            </w:pPr>
            <w:r>
              <w:rPr>
                <w:rFonts w:cs="Arial"/>
                <w:b/>
                <w:color w:val="000000"/>
                <w:sz w:val="14"/>
                <w:szCs w:val="14"/>
              </w:rPr>
            </w:r>
          </w:p>
        </w:tc>
        <w:tc>
          <w:tcPr>
            <w:tcW w:w="255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cs="Arial"/>
                <w:b/>
                <w:b/>
                <w:bCs/>
                <w:color w:val="000000"/>
                <w:sz w:val="14"/>
                <w:szCs w:val="14"/>
              </w:rPr>
            </w:pPr>
            <w:r>
              <w:rPr>
                <w:rFonts w:cs="Arial"/>
                <w:b/>
                <w:bCs/>
                <w:color w:val="000000"/>
                <w:sz w:val="14"/>
                <w:szCs w:val="14"/>
              </w:rPr>
              <w:t>DESCRIÇÃO/</w:t>
            </w:r>
          </w:p>
          <w:p>
            <w:pPr>
              <w:pStyle w:val="Normal"/>
              <w:widowControl w:val="false"/>
              <w:suppressAutoHyphens w:val="true"/>
              <w:jc w:val="center"/>
              <w:rPr>
                <w:rFonts w:cs="Arial"/>
                <w:color w:val="000000"/>
                <w:sz w:val="14"/>
                <w:szCs w:val="14"/>
              </w:rPr>
            </w:pPr>
            <w:r>
              <w:rPr>
                <w:rFonts w:cs="Arial"/>
                <w:b/>
                <w:bCs/>
                <w:color w:val="000000"/>
                <w:sz w:val="14"/>
                <w:szCs w:val="14"/>
              </w:rPr>
              <w:t>ESPECIFICAÇÃO</w:t>
            </w:r>
          </w:p>
        </w:tc>
        <w:tc>
          <w:tcPr>
            <w:tcW w:w="91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jc w:val="center"/>
              <w:rPr>
                <w:rFonts w:cs="Arial"/>
                <w:b/>
                <w:b/>
                <w:bCs/>
                <w:color w:val="000000"/>
                <w:sz w:val="14"/>
                <w:szCs w:val="14"/>
              </w:rPr>
            </w:pPr>
            <w:r>
              <w:rPr>
                <w:rFonts w:cs="Arial"/>
                <w:b/>
                <w:bCs/>
                <w:color w:val="000000"/>
                <w:sz w:val="14"/>
                <w:szCs w:val="14"/>
              </w:rPr>
              <w:t>CATSER/</w:t>
            </w:r>
          </w:p>
          <w:p>
            <w:pPr>
              <w:pStyle w:val="Normal"/>
              <w:widowControl w:val="false"/>
              <w:suppressAutoHyphens w:val="true"/>
              <w:jc w:val="center"/>
              <w:rPr>
                <w:rFonts w:cs="Arial"/>
                <w:b/>
                <w:b/>
                <w:bCs/>
                <w:color w:val="000000"/>
                <w:sz w:val="14"/>
                <w:szCs w:val="14"/>
              </w:rPr>
            </w:pPr>
            <w:r>
              <w:rPr>
                <w:rFonts w:cs="Arial"/>
                <w:b/>
                <w:bCs/>
                <w:color w:val="000000"/>
                <w:sz w:val="14"/>
                <w:szCs w:val="14"/>
              </w:rPr>
              <w:t>CATMAT</w:t>
            </w:r>
          </w:p>
        </w:tc>
        <w:tc>
          <w:tcPr>
            <w:tcW w:w="9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jc w:val="center"/>
              <w:rPr>
                <w:rFonts w:cs="Arial"/>
                <w:color w:val="000000"/>
                <w:sz w:val="14"/>
                <w:szCs w:val="14"/>
              </w:rPr>
            </w:pPr>
            <w:r>
              <w:rPr>
                <w:rFonts w:cs="Arial"/>
                <w:b/>
                <w:bCs/>
                <w:color w:val="000000"/>
                <w:sz w:val="14"/>
                <w:szCs w:val="14"/>
              </w:rPr>
              <w:t>UNIDADE DE MEDIDA</w:t>
            </w:r>
          </w:p>
        </w:tc>
        <w:tc>
          <w:tcPr>
            <w:tcW w:w="84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jc w:val="center"/>
              <w:rPr>
                <w:rFonts w:cs="Arial"/>
                <w:color w:val="000000"/>
                <w:sz w:val="14"/>
                <w:szCs w:val="14"/>
              </w:rPr>
            </w:pPr>
            <w:r>
              <w:rPr>
                <w:rFonts w:cs="Arial"/>
                <w:b/>
                <w:bCs/>
                <w:color w:val="000000"/>
                <w:sz w:val="14"/>
                <w:szCs w:val="14"/>
              </w:rPr>
              <w:t>QUANT.</w:t>
            </w:r>
          </w:p>
        </w:tc>
        <w:tc>
          <w:tcPr>
            <w:tcW w:w="99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jc w:val="center"/>
              <w:rPr>
                <w:rFonts w:cs="Arial"/>
                <w:b/>
                <w:b/>
                <w:bCs/>
                <w:color w:val="000000"/>
                <w:sz w:val="14"/>
                <w:szCs w:val="14"/>
              </w:rPr>
            </w:pPr>
            <w:r>
              <w:rPr>
                <w:rFonts w:cs="Arial"/>
                <w:b/>
                <w:bCs/>
                <w:color w:val="000000"/>
                <w:sz w:val="14"/>
                <w:szCs w:val="14"/>
              </w:rPr>
              <w:t>PREÇO ESTIMADO</w:t>
            </w:r>
          </w:p>
          <w:p>
            <w:pPr>
              <w:pStyle w:val="Normal"/>
              <w:widowControl w:val="false"/>
              <w:suppressAutoHyphens w:val="true"/>
              <w:jc w:val="center"/>
              <w:rPr>
                <w:rFonts w:cs="Arial"/>
                <w:b/>
                <w:b/>
                <w:bCs/>
                <w:color w:val="000000"/>
                <w:sz w:val="14"/>
                <w:szCs w:val="14"/>
              </w:rPr>
            </w:pPr>
            <w:r>
              <w:rPr>
                <w:rFonts w:cs="Arial"/>
                <w:b/>
                <w:bCs/>
                <w:color w:val="000000"/>
                <w:sz w:val="14"/>
                <w:szCs w:val="14"/>
              </w:rPr>
              <w:t>TOTAL</w:t>
            </w:r>
          </w:p>
        </w:tc>
        <w:tc>
          <w:tcPr>
            <w:tcW w:w="11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jc w:val="center"/>
              <w:rPr>
                <w:rFonts w:cs="Arial"/>
                <w:b/>
                <w:b/>
                <w:bCs/>
                <w:color w:val="000000"/>
                <w:sz w:val="14"/>
                <w:szCs w:val="14"/>
              </w:rPr>
            </w:pPr>
            <w:r>
              <w:rPr>
                <w:rFonts w:cs="Arial"/>
                <w:b/>
                <w:bCs/>
                <w:color w:val="000000"/>
                <w:sz w:val="14"/>
                <w:szCs w:val="14"/>
              </w:rPr>
              <w:t>LOCAL DE EXECUÇÃO</w:t>
            </w:r>
          </w:p>
        </w:tc>
        <w:tc>
          <w:tcPr>
            <w:tcW w:w="113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jc w:val="center"/>
              <w:rPr>
                <w:rFonts w:cs="Arial"/>
                <w:b/>
                <w:b/>
                <w:bCs/>
                <w:color w:val="000000"/>
                <w:sz w:val="14"/>
                <w:szCs w:val="14"/>
              </w:rPr>
            </w:pPr>
            <w:r>
              <w:rPr>
                <w:rFonts w:cs="Arial"/>
                <w:b/>
                <w:bCs/>
                <w:color w:val="000000"/>
                <w:sz w:val="14"/>
                <w:szCs w:val="14"/>
              </w:rPr>
              <w:t>PRAZO DE EXECUÇÃO (DIAS)</w:t>
            </w:r>
          </w:p>
        </w:tc>
      </w:tr>
      <w:tr>
        <w:trPr>
          <w:trHeight w:val="2087" w:hRule="atLeast"/>
        </w:trPr>
        <w:tc>
          <w:tcPr>
            <w:tcW w:w="6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120"/>
              <w:jc w:val="center"/>
              <w:rPr>
                <w:rFonts w:cs="Arial"/>
                <w:b/>
                <w:b/>
                <w:color w:val="000000"/>
                <w:sz w:val="16"/>
                <w:szCs w:val="16"/>
              </w:rPr>
            </w:pPr>
            <w:r>
              <w:rPr>
                <w:rFonts w:cs="Arial"/>
                <w:b/>
                <w:color w:val="000000"/>
                <w:sz w:val="16"/>
                <w:szCs w:val="16"/>
              </w:rPr>
              <w:t>1</w:t>
            </w:r>
          </w:p>
        </w:tc>
        <w:tc>
          <w:tcPr>
            <w:tcW w:w="56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120"/>
              <w:jc w:val="center"/>
              <w:rPr>
                <w:rFonts w:cs="Arial"/>
                <w:b/>
                <w:b/>
                <w:color w:val="000000"/>
                <w:sz w:val="16"/>
                <w:szCs w:val="16"/>
              </w:rPr>
            </w:pPr>
            <w:r>
              <w:rPr>
                <w:rFonts w:cs="Arial"/>
                <w:b/>
                <w:color w:val="000000"/>
                <w:sz w:val="16"/>
                <w:szCs w:val="16"/>
              </w:rPr>
              <w:t>1</w:t>
            </w:r>
          </w:p>
        </w:tc>
        <w:tc>
          <w:tcPr>
            <w:tcW w:w="255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Default"/>
              <w:widowControl w:val="false"/>
              <w:spacing w:lineRule="auto" w:line="240" w:before="0" w:after="0"/>
              <w:ind w:left="357" w:right="86" w:hanging="0"/>
              <w:jc w:val="left"/>
              <w:rPr>
                <w:rFonts w:ascii="Times New Roman" w:hAnsi="Times New Roman"/>
                <w:b w:val="false"/>
                <w:b w:val="false"/>
                <w:bCs w:val="false"/>
                <w:sz w:val="24"/>
                <w:szCs w:val="24"/>
                <w:lang w:val="en-US"/>
              </w:rPr>
            </w:pPr>
            <w:r>
              <w:rPr>
                <w:rFonts w:ascii="Times New Roman" w:hAnsi="Times New Roman"/>
                <w:b w:val="false"/>
                <w:bCs w:val="false"/>
                <w:color w:val="000000"/>
                <w:sz w:val="23"/>
                <w:szCs w:val="23"/>
                <w:lang w:val="en-US"/>
              </w:rPr>
              <w:t>Parafuso borboleta com porca  ¼ x 2 1/2”</w:t>
            </w:r>
          </w:p>
        </w:tc>
        <w:tc>
          <w:tcPr>
            <w:tcW w:w="91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120"/>
              <w:jc w:val="center"/>
              <w:rPr/>
            </w:pPr>
            <w:r>
              <w:rPr>
                <w:rFonts w:cs="Arial"/>
                <w:color w:val="000000"/>
                <w:sz w:val="16"/>
                <w:szCs w:val="16"/>
              </w:rPr>
              <w:t>31607</w:t>
            </w:r>
          </w:p>
        </w:tc>
        <w:tc>
          <w:tcPr>
            <w:tcW w:w="9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Und</w:t>
            </w:r>
          </w:p>
        </w:tc>
        <w:tc>
          <w:tcPr>
            <w:tcW w:w="84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120"/>
              <w:rPr/>
            </w:pPr>
            <w:r>
              <w:rPr>
                <w:rFonts w:cs="Arial"/>
                <w:color w:val="000000"/>
                <w:sz w:val="16"/>
                <w:szCs w:val="16"/>
              </w:rPr>
              <w:t>6</w:t>
            </w:r>
            <w:r>
              <w:rPr>
                <w:rFonts w:cs="Arial"/>
                <w:color w:val="000000"/>
                <w:sz w:val="16"/>
                <w:szCs w:val="16"/>
              </w:rPr>
              <w:t>0</w:t>
            </w:r>
          </w:p>
        </w:tc>
        <w:tc>
          <w:tcPr>
            <w:tcW w:w="99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120"/>
              <w:rPr/>
            </w:pPr>
            <w:r>
              <w:rPr>
                <w:rFonts w:cs="Arial"/>
                <w:color w:val="000000"/>
                <w:sz w:val="16"/>
                <w:szCs w:val="16"/>
              </w:rPr>
              <w:t xml:space="preserve">R$ </w:t>
            </w:r>
            <w:r>
              <w:rPr>
                <w:rFonts w:cs="Arial"/>
                <w:color w:val="000000"/>
                <w:sz w:val="16"/>
                <w:szCs w:val="16"/>
              </w:rPr>
              <w:t>249,60</w:t>
            </w:r>
          </w:p>
        </w:tc>
        <w:tc>
          <w:tcPr>
            <w:tcW w:w="11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120"/>
              <w:rPr>
                <w:rFonts w:cs="Arial"/>
                <w:color w:val="000000"/>
                <w:sz w:val="16"/>
                <w:szCs w:val="16"/>
              </w:rPr>
            </w:pPr>
            <w:r>
              <w:rPr>
                <w:rFonts w:cs="Arial"/>
                <w:color w:val="000000"/>
                <w:sz w:val="16"/>
                <w:szCs w:val="16"/>
              </w:rPr>
              <w:t>Avenida Doutor Joaquim Nabuco, 1957, Ouro Preto, Olinda, Pernambuco</w:t>
            </w:r>
          </w:p>
        </w:tc>
        <w:tc>
          <w:tcPr>
            <w:tcW w:w="113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120"/>
              <w:rPr>
                <w:rFonts w:cs="Arial"/>
                <w:color w:val="000000"/>
                <w:sz w:val="16"/>
                <w:szCs w:val="16"/>
              </w:rPr>
            </w:pPr>
            <w:r>
              <w:rPr>
                <w:rFonts w:cs="Arial"/>
                <w:color w:val="000000"/>
                <w:sz w:val="16"/>
                <w:szCs w:val="16"/>
              </w:rPr>
              <w:t>30 (TRINTA)</w:t>
            </w:r>
          </w:p>
        </w:tc>
      </w:tr>
      <w:tr>
        <w:trPr>
          <w:trHeight w:val="2087" w:hRule="atLeast"/>
        </w:trPr>
        <w:tc>
          <w:tcPr>
            <w:tcW w:w="6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120"/>
              <w:jc w:val="center"/>
              <w:rPr/>
            </w:pPr>
            <w:r>
              <w:rPr>
                <w:rFonts w:cs="Arial"/>
                <w:b/>
                <w:color w:val="000000"/>
                <w:sz w:val="16"/>
                <w:szCs w:val="16"/>
              </w:rPr>
              <w:t>1</w:t>
            </w:r>
          </w:p>
        </w:tc>
        <w:tc>
          <w:tcPr>
            <w:tcW w:w="56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120"/>
              <w:jc w:val="center"/>
              <w:rPr/>
            </w:pPr>
            <w:r>
              <w:rPr>
                <w:rFonts w:cs="Arial"/>
                <w:b/>
                <w:color w:val="000000"/>
                <w:sz w:val="16"/>
                <w:szCs w:val="16"/>
              </w:rPr>
              <w:t>2</w:t>
            </w:r>
          </w:p>
        </w:tc>
        <w:tc>
          <w:tcPr>
            <w:tcW w:w="255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lineRule="auto" w:line="240" w:before="0" w:after="0"/>
              <w:jc w:val="left"/>
              <w:rPr>
                <w:rFonts w:ascii="Times New Roman" w:hAnsi="Times New Roman"/>
                <w:sz w:val="20"/>
                <w:szCs w:val="20"/>
              </w:rPr>
            </w:pPr>
            <w:r>
              <w:rPr>
                <w:rFonts w:ascii="Times New Roman" w:hAnsi="Times New Roman"/>
                <w:sz w:val="20"/>
                <w:szCs w:val="20"/>
              </w:rPr>
              <w:t xml:space="preserve">Conjunto de Macho Manual Hss-Mf M8 </w:t>
            </w:r>
            <w:r>
              <w:rPr>
                <w:rFonts w:ascii="Times New Roman" w:hAnsi="Times New Roman"/>
                <w:b w:val="false"/>
                <w:bCs w:val="false"/>
                <w:sz w:val="20"/>
                <w:szCs w:val="20"/>
                <w:lang w:val="en-US"/>
              </w:rPr>
              <w:t>X 1 com 2 unidades</w:t>
            </w:r>
          </w:p>
        </w:tc>
        <w:tc>
          <w:tcPr>
            <w:tcW w:w="91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120"/>
              <w:jc w:val="center"/>
              <w:rPr>
                <w:rFonts w:ascii="Times New Roman" w:hAnsi="Times New Roman"/>
                <w:sz w:val="20"/>
                <w:szCs w:val="20"/>
              </w:rPr>
            </w:pPr>
            <w:r>
              <w:rPr>
                <w:rFonts w:ascii="Times New Roman" w:hAnsi="Times New Roman"/>
                <w:sz w:val="20"/>
                <w:szCs w:val="20"/>
              </w:rPr>
              <w:t>440084</w:t>
            </w:r>
          </w:p>
        </w:tc>
        <w:tc>
          <w:tcPr>
            <w:tcW w:w="9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120"/>
              <w:jc w:val="center"/>
              <w:rPr/>
            </w:pPr>
            <w:r>
              <w:rPr>
                <w:rFonts w:cs="Arial"/>
                <w:color w:val="000000"/>
                <w:sz w:val="16"/>
                <w:szCs w:val="16"/>
              </w:rPr>
              <w:t>Und</w:t>
            </w:r>
          </w:p>
        </w:tc>
        <w:tc>
          <w:tcPr>
            <w:tcW w:w="84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120"/>
              <w:rPr/>
            </w:pPr>
            <w:r>
              <w:rPr/>
              <w:t>1</w:t>
            </w:r>
          </w:p>
        </w:tc>
        <w:tc>
          <w:tcPr>
            <w:tcW w:w="99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120"/>
              <w:rPr>
                <w:sz w:val="16"/>
                <w:szCs w:val="16"/>
              </w:rPr>
            </w:pPr>
            <w:r>
              <w:rPr>
                <w:sz w:val="16"/>
                <w:szCs w:val="16"/>
              </w:rPr>
              <w:t xml:space="preserve">R$ </w:t>
            </w:r>
            <w:r>
              <w:rPr>
                <w:sz w:val="16"/>
                <w:szCs w:val="16"/>
              </w:rPr>
              <w:t>447,00</w:t>
            </w:r>
          </w:p>
        </w:tc>
        <w:tc>
          <w:tcPr>
            <w:tcW w:w="11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120"/>
              <w:rPr/>
            </w:pPr>
            <w:r>
              <w:rPr>
                <w:rFonts w:cs="Arial"/>
                <w:color w:val="000000"/>
                <w:sz w:val="16"/>
                <w:szCs w:val="16"/>
              </w:rPr>
              <w:t>Avenida Doutor Joaquim Nabuco, 1957, Ouro Preto, Olinda, Pernambuco</w:t>
            </w:r>
          </w:p>
        </w:tc>
        <w:tc>
          <w:tcPr>
            <w:tcW w:w="113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120"/>
              <w:rPr/>
            </w:pPr>
            <w:r>
              <w:rPr>
                <w:rFonts w:cs="Arial"/>
                <w:color w:val="000000"/>
                <w:sz w:val="16"/>
                <w:szCs w:val="16"/>
              </w:rPr>
              <w:t>30 (TRINTA)</w:t>
            </w:r>
          </w:p>
        </w:tc>
      </w:tr>
    </w:tbl>
    <w:p>
      <w:pPr>
        <w:pStyle w:val="PADRO"/>
        <w:keepNext w:val="false"/>
        <w:widowControl/>
        <w:numPr>
          <w:ilvl w:val="2"/>
          <w:numId w:val="1"/>
        </w:numPr>
        <w:shd w:val="clear" w:color="auto" w:fill="auto"/>
        <w:spacing w:before="120" w:after="120"/>
        <w:rPr>
          <w:rFonts w:ascii="Arial" w:hAnsi="Arial" w:cs="Arial"/>
        </w:rPr>
      </w:pPr>
      <w:r>
        <w:rPr>
          <w:rFonts w:cs="Arial" w:ascii="Arial" w:hAnsi="Arial"/>
          <w:szCs w:val="20"/>
        </w:rPr>
        <w:t>Havendo mais de item ou lote faculta-se ao fornecedor a participação em quantos forem de seu interesse. Entretanto, optando-se por participar de um lote, deve o fornecedor enviar proposta para todos os itens que o compõem.</w:t>
      </w:r>
    </w:p>
    <w:p>
      <w:pPr>
        <w:pStyle w:val="PADRO"/>
        <w:keepNext w:val="false"/>
        <w:widowControl/>
        <w:numPr>
          <w:ilvl w:val="1"/>
          <w:numId w:val="1"/>
        </w:numPr>
        <w:shd w:val="clear" w:color="auto" w:fill="auto"/>
        <w:spacing w:before="120" w:after="120"/>
        <w:rPr>
          <w:rFonts w:ascii="Arial" w:hAnsi="Arial" w:cs="Arial"/>
          <w:color w:val="000000" w:themeColor="text1"/>
          <w:szCs w:val="20"/>
        </w:rPr>
      </w:pPr>
      <w:r>
        <w:rPr>
          <w:rFonts w:cs="Arial" w:ascii="Arial" w:hAnsi="Arial"/>
          <w:szCs w:val="20"/>
        </w:rPr>
        <w:t>O critério de julgamento adotado será o</w:t>
      </w:r>
      <w:r>
        <w:rPr>
          <w:rFonts w:cs="Arial" w:ascii="Arial" w:hAnsi="Arial"/>
          <w:i/>
          <w:iCs/>
          <w:szCs w:val="20"/>
        </w:rPr>
        <w:t xml:space="preserve"> </w:t>
      </w:r>
      <w:r>
        <w:rPr>
          <w:rFonts w:cs="Arial" w:ascii="Arial" w:hAnsi="Arial"/>
          <w:szCs w:val="20"/>
        </w:rPr>
        <w:t>menor preço, observadas as exigências contidas neste Aviso de Contratação Direta e seus Anexos quanto às especificações do objeto.</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PARTICIPAÇÃO NA DISPENSA ELETRÔNICA.</w:t>
      </w:r>
    </w:p>
    <w:p>
      <w:pPr>
        <w:pStyle w:val="Normal"/>
        <w:numPr>
          <w:ilvl w:val="1"/>
          <w:numId w:val="1"/>
        </w:numPr>
        <w:snapToGrid w:val="false"/>
        <w:spacing w:lineRule="auto" w:line="276" w:before="120" w:after="120"/>
        <w:ind w:left="425" w:hanging="0"/>
        <w:jc w:val="both"/>
        <w:rPr>
          <w:rFonts w:cs="Arial"/>
          <w:szCs w:val="20"/>
        </w:rPr>
      </w:pPr>
      <w:r>
        <w:rPr>
          <w:rFonts w:cs="Arial"/>
          <w:szCs w:val="20"/>
        </w:rPr>
        <w:t xml:space="preserve">A participação na presente dispensa eletrônica se dará mediante </w:t>
      </w:r>
      <w:r>
        <w:rPr>
          <w:rFonts w:cs="Arial"/>
          <w:bCs/>
          <w:szCs w:val="20"/>
        </w:rPr>
        <w:t>Sistema de Dispensa Eletrônica</w:t>
      </w:r>
      <w:r>
        <w:rPr>
          <w:rFonts w:cs="Arial"/>
          <w:szCs w:val="20"/>
        </w:rPr>
        <w:t xml:space="preserve"> integrante do Sistema de Compras do Governo Federal – Comprasnet 4.0, disponível no </w:t>
      </w:r>
      <w:r>
        <w:rPr>
          <w:rFonts w:cs="Arial"/>
          <w:bCs/>
          <w:szCs w:val="20"/>
        </w:rPr>
        <w:t xml:space="preserve">endereço eletrônico </w:t>
      </w:r>
      <w:r>
        <w:rPr>
          <w:rFonts w:cs="Arial"/>
          <w:color w:val="FF0000"/>
          <w:szCs w:val="20"/>
        </w:rPr>
        <w:t>...</w:t>
      </w:r>
      <w:r>
        <w:rPr>
          <w:rFonts w:cs="Arial"/>
          <w:szCs w:val="20"/>
        </w:rPr>
        <w:t>.</w:t>
      </w:r>
    </w:p>
    <w:p>
      <w:pPr>
        <w:pStyle w:val="Normal"/>
        <w:numPr>
          <w:ilvl w:val="2"/>
          <w:numId w:val="1"/>
        </w:numPr>
        <w:snapToGrid w:val="false"/>
        <w:spacing w:lineRule="auto" w:line="276" w:before="120" w:after="120"/>
        <w:jc w:val="both"/>
        <w:rPr>
          <w:rFonts w:cs="Arial"/>
          <w:szCs w:val="20"/>
        </w:rPr>
      </w:pPr>
      <w:r>
        <w:rPr>
          <w:rFonts w:cs="Arial"/>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Não poderão participar desta dispensa os fornecedores: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se enquadrem nas seguintes vedações: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pPr>
      <w:r>
        <w:rPr>
          <w:rFonts w:cs="Arial"/>
          <w:color w:val="000000"/>
          <w:szCs w:val="20"/>
        </w:rPr>
        <w:t>empresas controladoras, controladas ou coligadas, nos termos da </w:t>
      </w:r>
      <w:hyperlink r:id="rId3">
        <w:r>
          <w:rPr>
            <w:rStyle w:val="LinkdaInternet"/>
            <w:rFonts w:eastAsia="Calibri" w:cs="Arial"/>
            <w:szCs w:val="20"/>
          </w:rPr>
          <w:t>Lei nº 6.404, de 15 de dezembro de 1976</w:t>
        </w:r>
      </w:hyperlink>
      <w:r>
        <w:rPr>
          <w:rFonts w:cs="Arial"/>
          <w:color w:val="000000"/>
          <w:szCs w:val="20"/>
        </w:rPr>
        <w:t>, concorrendo entre si;</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themeColor="text1"/>
          <w:szCs w:val="20"/>
        </w:rPr>
      </w:pPr>
      <w:r>
        <w:rPr>
          <w:rFonts w:cs="Arial"/>
          <w:color w:val="000000"/>
          <w:szCs w:val="20"/>
        </w:rPr>
        <w:t>organizações da Sociedade Civil de Interesse Público - OSCIP, atuando nessa condição (Acórdão nº 746/2014-TCU-Plenário); e</w:t>
      </w:r>
    </w:p>
    <w:p>
      <w:pPr>
        <w:pStyle w:val="Normal"/>
        <w:numPr>
          <w:ilvl w:val="1"/>
          <w:numId w:val="1"/>
        </w:numPr>
        <w:spacing w:lineRule="auto" w:line="276" w:before="120" w:after="120"/>
        <w:jc w:val="both"/>
        <w:rPr>
          <w:rFonts w:cs="Arial"/>
          <w:iCs/>
          <w:szCs w:val="20"/>
        </w:rPr>
      </w:pPr>
      <w:r>
        <w:rPr>
          <w:rFonts w:cs="Arial"/>
          <w:iCs/>
          <w:szCs w:val="20"/>
        </w:rPr>
        <w:t>Será permitida a participação de cooperativas, desde que apresentem demonstrativo de atuação em regime cooperado, com repartição de receitas e despesas entre os cooperados e atendam ao art. 16 da Lei nº 14.133/21.</w:t>
      </w:r>
    </w:p>
    <w:p>
      <w:pPr>
        <w:pStyle w:val="Normal"/>
        <w:numPr>
          <w:ilvl w:val="2"/>
          <w:numId w:val="1"/>
        </w:numPr>
        <w:spacing w:lineRule="auto" w:line="276" w:before="120" w:after="120"/>
        <w:jc w:val="both"/>
        <w:rPr>
          <w:rFonts w:cs="Arial"/>
          <w:iCs/>
          <w:szCs w:val="20"/>
        </w:rPr>
      </w:pPr>
      <w:r>
        <w:rPr>
          <w:rFonts w:cs="Arial"/>
          <w:iCs/>
          <w:szCs w:val="20"/>
        </w:rPr>
        <w:t>Em sendo permitida a participação de cooperativas, serão estendidas a elas os benefícios previstos para as microempresas e empresas de pequeno porte quando elas atenderem ao disposto no art. 34 da Lei nº 11.488, de 15 de junho de 2007.</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INGRESSO NA DISPENSA ELETRÔNICA E CADASTRAMENTO DA PROPOSTA INICIAL</w:t>
      </w:r>
    </w:p>
    <w:p>
      <w:pPr>
        <w:pStyle w:val="Normal"/>
        <w:numPr>
          <w:ilvl w:val="1"/>
          <w:numId w:val="1"/>
        </w:numPr>
        <w:snapToGrid w:val="false"/>
        <w:spacing w:lineRule="auto" w:line="276" w:before="120" w:after="120"/>
        <w:ind w:left="425" w:hanging="0"/>
        <w:jc w:val="both"/>
        <w:rPr>
          <w:rFonts w:cs="Arial"/>
        </w:rPr>
      </w:pPr>
      <w:r>
        <w:rPr>
          <w:rFonts w:cs="Arial"/>
          <w:color w:val="000000" w:themeColor="text1"/>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Cs w:val="20"/>
        </w:rPr>
      </w:pPr>
      <w:r>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vinculam a Contratada.</w:t>
      </w:r>
    </w:p>
    <w:p>
      <w:pPr>
        <w:pStyle w:val="Normal"/>
        <w:numPr>
          <w:ilvl w:val="1"/>
          <w:numId w:val="1"/>
        </w:numPr>
        <w:spacing w:lineRule="auto" w:line="276" w:before="120" w:after="120"/>
        <w:ind w:left="425" w:hanging="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Cs w:val="20"/>
        </w:rPr>
      </w:pPr>
      <w:r>
        <w:rPr>
          <w:rFonts w:cs="Arial"/>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rFonts w:cs="Arial"/>
          <w:szCs w:val="20"/>
        </w:rPr>
      </w:pPr>
      <w:r>
        <w:rPr>
          <w:rFonts w:cs="Arial"/>
          <w:szCs w:val="20"/>
        </w:rPr>
        <w:t xml:space="preserve">A apresentação das propostas implica obrigatoriedade do cumprimento das disposições nelas contidas, em conformidade com o que dispõe o </w:t>
      </w:r>
      <w:r>
        <w:rPr>
          <w:rFonts w:cs="Arial"/>
          <w:b/>
          <w:bCs/>
          <w:iCs/>
          <w:szCs w:val="20"/>
        </w:rPr>
        <w:t>Termo de Referência</w:t>
      </w:r>
      <w:r>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cs="Arial"/>
          <w:color w:val="000000" w:themeColor="text1"/>
          <w:szCs w:val="20"/>
        </w:rPr>
      </w:pPr>
      <w:r>
        <w:rPr>
          <w:rFonts w:cs="Arial"/>
          <w:szCs w:val="20"/>
        </w:rPr>
        <w:t xml:space="preserve">Uma vez enviada a proposta no sistema, os fornecedores </w:t>
      </w:r>
      <w:r>
        <w:rPr>
          <w:rFonts w:cs="Arial"/>
          <w:b/>
          <w:bCs/>
          <w:szCs w:val="20"/>
        </w:rPr>
        <w:t>NÃO</w:t>
      </w:r>
      <w:r>
        <w:rPr>
          <w:rFonts w:cs="Arial"/>
          <w:szCs w:val="20"/>
        </w:rPr>
        <w:t xml:space="preserve"> poderão retirá-la, substituí-la ou modificá-la</w:t>
      </w:r>
      <w:r>
        <w:rPr>
          <w:rFonts w:cs="Arial"/>
          <w:color w:val="000000"/>
          <w:szCs w:val="20"/>
        </w:rPr>
        <w:t>;</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szCs w:val="20"/>
        </w:rPr>
        <w:t xml:space="preserve">No cadastramento da proposta inicial, o fornecedor deverá, também, assinalar “sim” ou “não” em campo </w:t>
      </w:r>
      <w:r>
        <w:rPr>
          <w:rFonts w:cs="Arial"/>
          <w:szCs w:val="20"/>
        </w:rPr>
        <w:t>próprio</w:t>
      </w:r>
      <w:r>
        <w:rPr>
          <w:rFonts w:cs="Arial"/>
          <w:color w:val="000000"/>
          <w:szCs w:val="20"/>
        </w:rPr>
        <w:t xml:space="preserve"> do sistema eletrônico, às seguintes declarações:</w:t>
      </w:r>
      <w:r>
        <w:rPr>
          <w:rFonts w:eastAsia="Zurich BT" w:cs="Arial"/>
          <w:color w:val="000000"/>
          <w:szCs w:val="20"/>
        </w:rPr>
        <w:t xml:space="preserve"> </w:t>
      </w:r>
    </w:p>
    <w:p>
      <w:pPr>
        <w:pStyle w:val="ListParagraph"/>
        <w:numPr>
          <w:ilvl w:val="0"/>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que </w:t>
      </w:r>
      <w:r>
        <w:rPr>
          <w:rFonts w:cs="Arial"/>
          <w:color w:val="000000"/>
          <w:szCs w:val="20"/>
        </w:rPr>
        <w:t>cumpre</w:t>
      </w:r>
      <w:r>
        <w:rPr>
          <w:rFonts w:cs="Arial"/>
          <w:color w:val="000000" w:themeColor="text1"/>
          <w:szCs w:val="20"/>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pPr>
        <w:pStyle w:val="Normal"/>
        <w:numPr>
          <w:ilvl w:val="1"/>
          <w:numId w:val="1"/>
        </w:numPr>
        <w:spacing w:lineRule="auto" w:line="276" w:before="120" w:after="120"/>
        <w:jc w:val="both"/>
        <w:rPr>
          <w:rFonts w:cs="Arial"/>
          <w:iCs/>
          <w:szCs w:val="20"/>
        </w:rPr>
      </w:pPr>
      <w:r>
        <w:rPr>
          <w:rFonts w:cs="Arial"/>
          <w:iCs/>
          <w:szCs w:val="20"/>
        </w:rPr>
        <w:t>Fica facultado ao fornecedor, ao cadastrar sua proposta inicial, a parametrização de valor final mínimo, com o registro do seu lance final aceitável (menor preço ou maior desconto, conforme o caso).</w:t>
      </w:r>
    </w:p>
    <w:p>
      <w:pPr>
        <w:pStyle w:val="Normal"/>
        <w:numPr>
          <w:ilvl w:val="2"/>
          <w:numId w:val="1"/>
        </w:numPr>
        <w:spacing w:lineRule="auto" w:line="276" w:before="120" w:after="120"/>
        <w:jc w:val="both"/>
        <w:rPr>
          <w:rFonts w:cs="Arial"/>
          <w:iCs/>
          <w:szCs w:val="20"/>
        </w:rPr>
      </w:pPr>
      <w:r>
        <w:rPr>
          <w:rFonts w:cs="Arial"/>
          <w:iCs/>
          <w:szCs w:val="20"/>
        </w:rPr>
        <w:t xml:space="preserve">Feita essa opção os lances serão enviados automaticamente pelo sistema, respeitados os limites cadastrados pelo fornecedor e o intervalo mínimo entre lances previsto neste aviso. </w:t>
      </w:r>
    </w:p>
    <w:p>
      <w:pPr>
        <w:pStyle w:val="Normal"/>
        <w:numPr>
          <w:ilvl w:val="3"/>
          <w:numId w:val="1"/>
        </w:numPr>
        <w:spacing w:lineRule="auto" w:line="276" w:before="120" w:after="120"/>
        <w:jc w:val="both"/>
        <w:rPr>
          <w:rFonts w:cs="Arial"/>
          <w:iCs/>
          <w:szCs w:val="20"/>
        </w:rPr>
      </w:pPr>
      <w:r>
        <w:rPr>
          <w:rFonts w:cs="Arial"/>
          <w:iCs/>
          <w:szCs w:val="20"/>
        </w:rPr>
        <w:t>Sem prejuízo do disposto acima, os lances poderão ser enviados manualmente, na forma da seção respectiva deste Aviso de Contratação Direta;</w:t>
      </w:r>
    </w:p>
    <w:p>
      <w:pPr>
        <w:pStyle w:val="Normal"/>
        <w:numPr>
          <w:ilvl w:val="2"/>
          <w:numId w:val="1"/>
        </w:numPr>
        <w:spacing w:lineRule="auto" w:line="276" w:before="120" w:after="120"/>
        <w:jc w:val="both"/>
        <w:rPr>
          <w:rFonts w:cs="Arial"/>
          <w:iCs/>
          <w:szCs w:val="20"/>
        </w:rPr>
      </w:pPr>
      <w:r>
        <w:rPr>
          <w:rFonts w:cs="Arial"/>
          <w:iCs/>
          <w:szCs w:val="20"/>
        </w:rPr>
        <w:t>O valor final mínimo poderá ser alterado pelo fornecedor durante a fase de disputa, desde que não assuma valor superior a lance já registrado por ele no sistema.</w:t>
      </w:r>
    </w:p>
    <w:p>
      <w:pPr>
        <w:pStyle w:val="Normal"/>
        <w:numPr>
          <w:ilvl w:val="2"/>
          <w:numId w:val="1"/>
        </w:numPr>
        <w:spacing w:lineRule="auto" w:line="276" w:before="120" w:after="120"/>
        <w:jc w:val="both"/>
        <w:rPr>
          <w:rFonts w:cs="Arial"/>
          <w:iCs/>
          <w:szCs w:val="20"/>
        </w:rPr>
      </w:pPr>
      <w:r>
        <w:rPr>
          <w:rFonts w:cs="Arial"/>
          <w:iCs/>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FASE DE LANCES</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A partir das 8:00h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i/>
          <w:iCs/>
          <w:color w:val="FF0000"/>
          <w:szCs w:val="20"/>
        </w:rPr>
        <w:t>O lance deverá ser ofertado pelo valor total/unitário do item.</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szCs w:val="20"/>
        </w:rPr>
        <w:t>O intervalo mínimo de diferença de valores ou percentuais entre os lances, que incidirá tanto em relação aos lances intermediários quanto em relação ao que cobrir a melhor oferta é de</w:t>
      </w:r>
      <w:r>
        <w:rPr>
          <w:rFonts w:cs="Arial"/>
          <w:i/>
          <w:iCs/>
          <w:szCs w:val="20"/>
        </w:rPr>
        <w:t xml:space="preserve"> R$ </w:t>
      </w:r>
      <w:r>
        <w:rPr>
          <w:rFonts w:cs="Arial"/>
          <w:szCs w:val="20"/>
        </w:rPr>
        <w:t>1,00 (um real).</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JULGAMENTO DAS PROPOSTAS DE PREÇO</w:t>
      </w:r>
    </w:p>
    <w:p>
      <w:pPr>
        <w:pStyle w:val="ListParagraph"/>
        <w:numPr>
          <w:ilvl w:val="1"/>
          <w:numId w:val="1"/>
        </w:numPr>
        <w:spacing w:lineRule="auto" w:line="276" w:before="120" w:after="120"/>
        <w:contextualSpacing/>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rPr>
      </w:pPr>
      <w:r>
        <w:rPr>
          <w:rFonts w:cs="Arial"/>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rPr>
      </w:pPr>
      <w:r>
        <w:rPr>
          <w:rFonts w:cs="Arial"/>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cs="Arial"/>
        </w:rPr>
      </w:pPr>
      <w:r>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rPr>
      </w:pPr>
      <w:r>
        <w:rPr>
          <w:rFonts w:cs="Arial"/>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cs="Arial"/>
        </w:rPr>
      </w:pPr>
      <w:r>
        <w:rPr>
          <w:rFonts w:cs="Arial"/>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rFonts w:cs="Arial"/>
          <w:szCs w:val="20"/>
        </w:rPr>
      </w:pPr>
      <w:r>
        <w:rPr>
          <w:rFonts w:cs="Arial"/>
          <w:szCs w:val="20"/>
        </w:rPr>
        <w:t>O prazo de validade da proposta não será inferior a 60(sessenta) dias</w:t>
      </w:r>
      <w:r>
        <w:rPr>
          <w:rFonts w:cs="Arial"/>
          <w:b/>
          <w:bCs/>
          <w:szCs w:val="20"/>
        </w:rPr>
        <w:t>,</w:t>
      </w:r>
      <w:r>
        <w:rPr>
          <w:rFonts w:cs="Arial"/>
          <w:szCs w:val="20"/>
        </w:rPr>
        <w:t xml:space="preserve"> a contar da data de sua apresentação.</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contiver vícios insanáveis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não tiverem sua exequibilidade demonstrada, quando exigido pela Administração</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i/>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Encerrada a análise quanto à aceitação da proposta, se iniciará a fase de habilitação, observado o disposto neste Aviso de Contratação Direta. </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HABILITAÇÃO</w:t>
      </w:r>
    </w:p>
    <w:p>
      <w:pPr>
        <w:pStyle w:val="ListParagraph"/>
        <w:numPr>
          <w:ilvl w:val="1"/>
          <w:numId w:val="1"/>
        </w:numPr>
        <w:spacing w:lineRule="auto" w:line="276" w:before="120" w:after="120"/>
        <w:ind w:left="792" w:hanging="574"/>
        <w:contextualSpacing/>
        <w:jc w:val="both"/>
        <w:rPr>
          <w:rFonts w:cs="Arial"/>
          <w:b/>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cs="Arial"/>
          <w:b/>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 xml:space="preserve">a) SICAF;  </w:t>
      </w:r>
    </w:p>
    <w:p>
      <w:pPr>
        <w:pStyle w:val="ListParagraph"/>
        <w:spacing w:lineRule="auto" w:line="276" w:before="120" w:after="120"/>
        <w:ind w:left="1134" w:hanging="0"/>
        <w:contextualSpacing/>
        <w:jc w:val="both"/>
        <w:rPr/>
      </w:pPr>
      <w:r>
        <w:rPr>
          <w:rFonts w:cs="Arial"/>
          <w:szCs w:val="20"/>
          <w:lang w:eastAsia="ar-SA"/>
        </w:rPr>
        <w:t>b) Cadastro Nacional de Empresas Inidôneas e Suspensas - CEIS, mantido pela Controladoria-Geral da União (</w:t>
      </w:r>
      <w:hyperlink r:id="rId4">
        <w:r>
          <w:rPr>
            <w:rStyle w:val="LinkdaInternet"/>
            <w:rFonts w:eastAsia="Calibri" w:cs="Arial"/>
            <w:lang w:eastAsia="ar-SA"/>
          </w:rPr>
          <w:t>www.portaldatransparencia.gov.br/ceis</w:t>
        </w:r>
      </w:hyperlink>
      <w:r>
        <w:rPr>
          <w:rFonts w:cs="Arial"/>
          <w:szCs w:val="20"/>
          <w:lang w:eastAsia="ar-SA"/>
        </w:rPr>
        <w:t xml:space="preserve">);  </w:t>
      </w:r>
    </w:p>
    <w:p>
      <w:pPr>
        <w:pStyle w:val="ListParagraph"/>
        <w:spacing w:lineRule="auto" w:line="276" w:before="120" w:after="120"/>
        <w:ind w:left="1134" w:hanging="0"/>
        <w:contextualSpacing/>
        <w:jc w:val="both"/>
        <w:rPr/>
      </w:pPr>
      <w:r>
        <w:rPr>
          <w:rFonts w:cs="Arial"/>
          <w:szCs w:val="20"/>
          <w:lang w:eastAsia="ar-SA"/>
        </w:rPr>
        <w:t>c) Cadastro Nacional de Condenações Cíveis por Atos de Improbidade Administrativa, mantido pelo Conselho Nacional de Justiça (</w:t>
      </w:r>
      <w:hyperlink r:id="rId5">
        <w:r>
          <w:rPr>
            <w:rStyle w:val="LinkdaInternet"/>
            <w:rFonts w:eastAsia="Calibri" w:cs="Arial"/>
            <w:lang w:eastAsia="ar-SA"/>
          </w:rPr>
          <w:t>www.cnj.jus.br/improbidade_adm/consultar_requerido.php</w:t>
        </w:r>
      </w:hyperlink>
      <w:r>
        <w:rPr>
          <w:rFonts w:cs="Arial"/>
          <w:szCs w:val="20"/>
          <w:lang w:eastAsia="ar-SA"/>
        </w:rPr>
        <w:t xml:space="preserve">).  </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cs="Arial"/>
          <w:b/>
          <w:b/>
          <w:szCs w:val="20"/>
        </w:rPr>
      </w:pPr>
      <w:r>
        <w:rPr>
          <w:rFonts w:cs="Arial"/>
          <w:szCs w:val="20"/>
          <w:lang w:eastAsia="ar-SA"/>
        </w:rPr>
        <w:t xml:space="preserve">Para a consulta de </w:t>
      </w:r>
      <w:r>
        <w:rPr>
          <w:rFonts w:cs="Arial"/>
          <w:color w:val="000000" w:themeColor="text1"/>
          <w:szCs w:val="20"/>
        </w:rPr>
        <w:t>fornecedores</w:t>
      </w:r>
      <w:r>
        <w:rPr>
          <w:rFonts w:cs="Arial"/>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cs="Arial"/>
          <w:szCs w:val="20"/>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szCs w:val="20"/>
        </w:rPr>
      </w:pPr>
      <w:r>
        <w:rPr>
          <w:rFonts w:cs="Arial"/>
          <w:color w:val="000000" w:themeColor="text1"/>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szCs w:val="20"/>
        </w:rPr>
      </w:pPr>
      <w:r>
        <w:rPr>
          <w:rFonts w:cs="Arial"/>
          <w:color w:val="000000" w:themeColor="text1"/>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pPr>
        <w:pStyle w:val="ListParagraph"/>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cs="Arial"/>
          <w:color w:val="000000" w:themeColor="text1"/>
          <w:szCs w:val="20"/>
        </w:rPr>
      </w:pPr>
      <w:r>
        <w:rPr>
          <w:rFonts w:cs="Arial"/>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cs="Arial"/>
          <w:color w:val="000000" w:themeColor="text1"/>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cs="Arial"/>
          <w:b/>
          <w:b/>
          <w:bCs/>
          <w:szCs w:val="20"/>
        </w:rPr>
      </w:pPr>
      <w:r>
        <w:rPr>
          <w:rFonts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rFonts w:cs="Arial"/>
          <w:iCs/>
          <w:szCs w:val="20"/>
        </w:rPr>
      </w:pPr>
      <w:r>
        <w:rPr>
          <w:rFonts w:cs="Arial"/>
          <w:iCs/>
          <w:szCs w:val="20"/>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ListParagraph"/>
        <w:numPr>
          <w:ilvl w:val="2"/>
          <w:numId w:val="1"/>
        </w:numPr>
        <w:spacing w:lineRule="auto" w:line="276" w:before="120" w:after="120"/>
        <w:contextualSpacing/>
        <w:jc w:val="both"/>
        <w:rPr>
          <w:rFonts w:cs="Arial"/>
          <w:iCs/>
          <w:szCs w:val="20"/>
        </w:rPr>
      </w:pPr>
      <w:r>
        <w:rPr>
          <w:rFonts w:cs="Arial"/>
          <w:iCs/>
          <w:szCs w:val="20"/>
        </w:rPr>
        <w:t>Não havendo a comprovação cumulativa dos requisitos de habilitação, a inabilitação recairá sobre o(s) item(ns) de menor(es) valor(es) cuja retirada(s) seja(m) suficiente(s) para a habilitação do fornecedor nos remanescentes.</w:t>
      </w:r>
    </w:p>
    <w:p>
      <w:pPr>
        <w:pStyle w:val="ListParagraph"/>
        <w:numPr>
          <w:ilvl w:val="1"/>
          <w:numId w:val="1"/>
        </w:numPr>
        <w:spacing w:lineRule="auto" w:line="276" w:before="120" w:after="120"/>
        <w:ind w:left="792" w:hanging="574"/>
        <w:contextualSpacing/>
        <w:jc w:val="both"/>
        <w:rPr>
          <w:rFonts w:cs="Arial"/>
          <w:bCs/>
          <w:szCs w:val="20"/>
        </w:rPr>
      </w:pPr>
      <w:r>
        <w:rPr>
          <w:rFonts w:cs="Arial"/>
          <w:bCs/>
          <w:szCs w:val="20"/>
        </w:rPr>
        <w:t xml:space="preserve">Havendo </w:t>
      </w:r>
      <w:r>
        <w:rPr>
          <w:rFonts w:cs="Arial"/>
          <w:iCs/>
          <w:lang w:eastAsia="en-US"/>
        </w:rPr>
        <w:t>necessidade</w:t>
      </w:r>
      <w:r>
        <w:rPr>
          <w:rFonts w:cs="Arial"/>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cs="Arial"/>
          <w:iCs/>
          <w:lang w:eastAsia="en-US"/>
        </w:rPr>
      </w:pPr>
      <w:r>
        <w:rPr>
          <w:rFonts w:cs="Arial"/>
          <w:iCs/>
          <w:lang w:eastAsia="en-US"/>
        </w:rPr>
        <w:t>Constatado o atendimento às exigências de habilitação, o fornecedor será habilitado</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CONTRATAÇÃO</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rFonts w:eastAsia="Arial" w:cs="Arial"/>
          <w:i/>
          <w:i/>
          <w:szCs w:val="20"/>
        </w:rPr>
      </w:pPr>
      <w:r>
        <w:rPr>
          <w:rFonts w:eastAsia="Arial" w:cs="Arial"/>
          <w:szCs w:val="20"/>
        </w:rPr>
        <w:t xml:space="preserve">O adjudicatário terá o prazo de 5(cinco)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i/>
          <w:i/>
          <w:szCs w:val="20"/>
        </w:rPr>
      </w:pPr>
      <w:r>
        <w:rPr>
          <w:rFonts w:eastAsia="Arial" w:cs="Arial"/>
          <w:i/>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5(cinco) dias, a contar da data de seu recebimento. </w:t>
      </w:r>
    </w:p>
    <w:p>
      <w:pPr>
        <w:pStyle w:val="Normal"/>
        <w:numPr>
          <w:ilvl w:val="2"/>
          <w:numId w:val="1"/>
        </w:numPr>
        <w:spacing w:lineRule="auto" w:line="276" w:before="120" w:after="120"/>
        <w:jc w:val="both"/>
        <w:rPr>
          <w:rFonts w:eastAsia="Arial" w:cs="Arial"/>
          <w:szCs w:val="20"/>
        </w:rPr>
      </w:pPr>
      <w:r>
        <w:rPr>
          <w:rFonts w:eastAsia="Arial" w:cs="Arial"/>
          <w:color w:val="000000"/>
          <w:szCs w:val="20"/>
        </w:rPr>
        <w:t xml:space="preserve">O prazo previsto para assinatura do contrato ou aceitação da nota de empenho ou instrumento equivalente poderá ser prorrogado </w:t>
      </w:r>
      <w:r>
        <w:rPr>
          <w:rFonts w:cs="Times New Roman"/>
          <w:bCs/>
        </w:rPr>
        <w:t>1 (uma) vez</w:t>
      </w:r>
      <w:r>
        <w:rPr>
          <w:rFonts w:eastAsia="Arial" w:cs="Arial"/>
          <w:szCs w:val="20"/>
        </w:rPr>
        <w:t xml:space="preserve">, </w:t>
      </w:r>
      <w:r>
        <w:rPr>
          <w:rFonts w:eastAsia="Arial" w:cs="Arial"/>
          <w:color w:val="000000"/>
          <w:szCs w:val="20"/>
        </w:rPr>
        <w:t xml:space="preserve">por igual período, por </w:t>
      </w:r>
      <w:r>
        <w:rPr>
          <w:rFonts w:eastAsia="Arial" w:cs="Arial"/>
          <w:szCs w:val="20"/>
        </w:rPr>
        <w:t>solicitação justificada do adjudicatário e aceita pela Administração.</w:t>
      </w:r>
    </w:p>
    <w:p>
      <w:pPr>
        <w:pStyle w:val="Normal"/>
        <w:numPr>
          <w:ilvl w:val="1"/>
          <w:numId w:val="1"/>
        </w:numPr>
        <w:spacing w:lineRule="auto" w:line="276" w:before="120" w:after="120"/>
        <w:ind w:left="425" w:hanging="0"/>
        <w:jc w:val="both"/>
        <w:rPr>
          <w:rFonts w:eastAsia="Arial" w:cs="Arial"/>
          <w:i/>
          <w:i/>
          <w:szCs w:val="20"/>
        </w:rPr>
      </w:pPr>
      <w:r>
        <w:rPr>
          <w:rFonts w:eastAsia="Arial" w:cs="Arial"/>
          <w:i/>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eastAsia="Arial" w:cs="Arial"/>
          <w:i/>
          <w:i/>
          <w:szCs w:val="20"/>
        </w:rPr>
      </w:pPr>
      <w:r>
        <w:rPr>
          <w:rFonts w:eastAsia="Arial" w:cs="Arial"/>
          <w:i/>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i/>
          <w:i/>
          <w:szCs w:val="20"/>
        </w:rPr>
      </w:pPr>
      <w:r>
        <w:rPr>
          <w:rFonts w:eastAsia="Arial" w:cs="Arial"/>
          <w:i/>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eastAsia="Arial" w:cs="Arial"/>
          <w:i/>
          <w:i/>
          <w:szCs w:val="20"/>
        </w:rPr>
      </w:pPr>
      <w:r>
        <w:rPr>
          <w:rFonts w:eastAsia="Arial" w:cs="Arial"/>
          <w:i/>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 xml:space="preserve">O prazo de vigência da contratação é </w:t>
      </w:r>
      <w:r>
        <w:rPr>
          <w:rFonts w:eastAsia="Arial" w:cs="Arial"/>
          <w:szCs w:val="20"/>
        </w:rPr>
        <w:t xml:space="preserve">de 30(trinta) dias, prorrogável conforme previsão nos anexos a este Aviso de Contratação Direta. </w:t>
      </w:r>
    </w:p>
    <w:p>
      <w:pPr>
        <w:pStyle w:val="Normal"/>
        <w:numPr>
          <w:ilvl w:val="1"/>
          <w:numId w:val="1"/>
        </w:numPr>
        <w:spacing w:lineRule="auto" w:line="276" w:before="120" w:after="120"/>
        <w:ind w:left="425" w:hanging="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SANÇÕES</w:t>
      </w:r>
    </w:p>
    <w:p>
      <w:pPr>
        <w:pStyle w:val="Normal"/>
        <w:numPr>
          <w:ilvl w:val="1"/>
          <w:numId w:val="1"/>
        </w:numPr>
        <w:spacing w:lineRule="auto" w:line="276" w:before="120" w:after="120"/>
        <w:ind w:left="425" w:hanging="0"/>
        <w:jc w:val="both"/>
        <w:rPr>
          <w:rFonts w:cs="Arial"/>
          <w:b/>
          <w:b/>
        </w:rPr>
      </w:pPr>
      <w:r>
        <w:rPr>
          <w:rFonts w:cs="Arial"/>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rPr>
      </w:pPr>
      <w:r>
        <w:rPr>
          <w:rFonts w:cs="Arial"/>
          <w:color w:val="000000"/>
          <w:szCs w:val="20"/>
        </w:rPr>
        <w:t>dar causa à inexecução parcial do contrato</w:t>
      </w:r>
      <w:r>
        <w:rPr>
          <w:rFonts w:cs="Arial"/>
        </w:rPr>
        <w:t>;</w:t>
      </w:r>
    </w:p>
    <w:p>
      <w:pPr>
        <w:pStyle w:val="Normal"/>
        <w:numPr>
          <w:ilvl w:val="2"/>
          <w:numId w:val="1"/>
        </w:numPr>
        <w:spacing w:lineRule="auto" w:line="276" w:before="120" w:after="120"/>
        <w:jc w:val="both"/>
        <w:rPr>
          <w:rFonts w:cs="Arial"/>
        </w:rPr>
      </w:pPr>
      <w:r>
        <w:rPr>
          <w:rFonts w:cs="Arial"/>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rPr>
      </w:pPr>
      <w:r>
        <w:rPr>
          <w:rFonts w:cs="Arial"/>
          <w:color w:val="000000"/>
          <w:szCs w:val="20"/>
        </w:rPr>
        <w:t>dar causa à inexecução total do contrato;</w:t>
      </w:r>
    </w:p>
    <w:p>
      <w:pPr>
        <w:pStyle w:val="Normal"/>
        <w:numPr>
          <w:ilvl w:val="2"/>
          <w:numId w:val="1"/>
        </w:numPr>
        <w:spacing w:lineRule="auto" w:line="276" w:before="120" w:after="120"/>
        <w:jc w:val="both"/>
        <w:rPr>
          <w:rFonts w:cs="Arial"/>
        </w:rPr>
      </w:pP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rPr>
      </w:pP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rPr>
      </w:pP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cs="Arial"/>
        </w:rPr>
      </w:pPr>
      <w:r>
        <w:rPr>
          <w:rFonts w:cs="Arial"/>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rPr>
      </w:pP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pPr>
      <w:r>
        <w:rPr>
          <w:rFonts w:cs="Arial"/>
          <w:color w:val="000000"/>
          <w:szCs w:val="20"/>
        </w:rPr>
        <w:t>praticar ato lesivo previsto no </w:t>
      </w:r>
      <w:r>
        <w:fldChar w:fldCharType="begin"/>
      </w:r>
      <w:r>
        <w:rPr>
          <w:rStyle w:val="ListLabel73"/>
        </w:rPr>
        <w:instrText> HYPERLINK "http://www.planalto.gov.br/ccivil_03/_Ato2011-2014/2013/Lei/L12846.htm" \l "art5"</w:instrText>
      </w:r>
      <w:r>
        <w:rPr>
          <w:rStyle w:val="ListLabel73"/>
        </w:rPr>
        <w:fldChar w:fldCharType="separate"/>
      </w:r>
      <w:r>
        <w:rPr>
          <w:rStyle w:val="ListLabel73"/>
          <w:color w:val="000000"/>
        </w:rPr>
        <w:t>art. 5º da Lei nº 12.846, de 1º de agosto de 2013.</w:t>
      </w:r>
      <w:r>
        <w:rPr>
          <w:rStyle w:val="ListLabel73"/>
        </w:rPr>
        <w:fldChar w:fldCharType="end"/>
      </w:r>
    </w:p>
    <w:p>
      <w:pPr>
        <w:pStyle w:val="Normal"/>
        <w:numPr>
          <w:ilvl w:val="1"/>
          <w:numId w:val="1"/>
        </w:numPr>
        <w:spacing w:lineRule="auto" w:line="276" w:before="120" w:after="120"/>
        <w:ind w:left="425" w:hanging="0"/>
        <w:jc w:val="both"/>
        <w:rPr>
          <w:rFonts w:cs="Arial"/>
          <w:b/>
          <w:b/>
        </w:rPr>
      </w:pPr>
      <w:r>
        <w:rPr>
          <w:rFonts w:cs="Arial"/>
        </w:rPr>
        <w:t>O fornecedor que cometer qualquer das infrações discriminadas nos subitens anteriores ficará sujeito, sem prejuízo da responsabilidade civil e criminal, às seguintes sanções:</w:t>
      </w:r>
    </w:p>
    <w:p>
      <w:pPr>
        <w:pStyle w:val="Normal"/>
        <w:numPr>
          <w:ilvl w:val="2"/>
          <w:numId w:val="5"/>
        </w:numPr>
        <w:spacing w:lineRule="auto" w:line="276" w:before="120" w:after="120"/>
        <w:jc w:val="both"/>
        <w:rPr>
          <w:rFonts w:cs="Arial"/>
        </w:rPr>
      </w:pPr>
      <w:r>
        <w:rPr>
          <w:rFonts w:cs="Arial"/>
        </w:rPr>
        <w:t>Advertência pela falta do subitem 8.1.1 deste Aviso de Contratação Direta,</w:t>
      </w:r>
      <w:r>
        <w:rPr/>
        <w:t xml:space="preserve"> </w:t>
      </w:r>
      <w:r>
        <w:rPr>
          <w:rFonts w:cs="Arial"/>
        </w:rPr>
        <w:t>quando não se justificar a imposição de penalidade mais grave;</w:t>
      </w:r>
    </w:p>
    <w:p>
      <w:pPr>
        <w:pStyle w:val="Normal"/>
        <w:numPr>
          <w:ilvl w:val="2"/>
          <w:numId w:val="5"/>
        </w:numPr>
        <w:spacing w:lineRule="auto" w:line="276" w:before="120" w:after="120"/>
        <w:jc w:val="both"/>
        <w:rPr>
          <w:rFonts w:cs="Arial"/>
        </w:rPr>
      </w:pPr>
      <w:r>
        <w:rPr>
          <w:rFonts w:cs="Arial"/>
        </w:rPr>
        <w:t>Multa de 5% (cinco por cento) sobre o valor estimado do(s) item(s) prejudicado(s) pela conduta do fornecedor, por qualquer das infrações dos subitens 8.1.1 a 8.1.12;</w:t>
      </w:r>
    </w:p>
    <w:p>
      <w:pPr>
        <w:pStyle w:val="Normal"/>
        <w:numPr>
          <w:ilvl w:val="2"/>
          <w:numId w:val="5"/>
        </w:numPr>
        <w:spacing w:lineRule="auto" w:line="276" w:before="120" w:after="120"/>
        <w:jc w:val="both"/>
        <w:rPr>
          <w:rFonts w:cs="Arial"/>
        </w:rPr>
      </w:pPr>
      <w:r>
        <w:rPr>
          <w:rFonts w:cs="Arial"/>
          <w:color w:val="000000"/>
          <w:szCs w:val="20"/>
        </w:rPr>
        <w:t>Impedimento de licitar e contratar</w:t>
      </w:r>
      <w:r>
        <w:rPr>
          <w:rFonts w:cs="Arial"/>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pPr>
        <w:pStyle w:val="Normal"/>
        <w:numPr>
          <w:ilvl w:val="2"/>
          <w:numId w:val="5"/>
        </w:numPr>
        <w:spacing w:lineRule="auto" w:line="276" w:before="120" w:after="120"/>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pPr>
        <w:pStyle w:val="Normal"/>
        <w:numPr>
          <w:ilvl w:val="1"/>
          <w:numId w:val="1"/>
        </w:numPr>
        <w:spacing w:lineRule="auto" w:line="276" w:before="120" w:after="120"/>
        <w:jc w:val="both"/>
        <w:rPr>
          <w:rFonts w:cs="Arial"/>
          <w:bCs/>
        </w:rPr>
      </w:pPr>
      <w:r>
        <w:rPr>
          <w:rFonts w:cs="Arial"/>
          <w:bCs/>
        </w:rPr>
        <w:t>Na aplicação das sanções serão considerados:</w:t>
      </w:r>
    </w:p>
    <w:p>
      <w:pPr>
        <w:pStyle w:val="Normal"/>
        <w:numPr>
          <w:ilvl w:val="2"/>
          <w:numId w:val="1"/>
        </w:numPr>
        <w:spacing w:lineRule="auto" w:line="276" w:before="120" w:after="120"/>
        <w:jc w:val="both"/>
        <w:rPr>
          <w:rFonts w:cs="Arial"/>
          <w:bCs/>
        </w:rPr>
      </w:pPr>
      <w:r>
        <w:rPr>
          <w:rFonts w:cs="Arial"/>
          <w:bCs/>
        </w:rPr>
        <w:t>a natureza e a gravidade da infração cometida;</w:t>
      </w:r>
    </w:p>
    <w:p>
      <w:pPr>
        <w:pStyle w:val="Normal"/>
        <w:numPr>
          <w:ilvl w:val="2"/>
          <w:numId w:val="1"/>
        </w:numPr>
        <w:spacing w:lineRule="auto" w:line="276" w:before="120" w:after="120"/>
        <w:jc w:val="both"/>
        <w:rPr>
          <w:rFonts w:cs="Arial"/>
          <w:bCs/>
        </w:rPr>
      </w:pPr>
      <w:r>
        <w:rPr>
          <w:rFonts w:cs="Arial"/>
          <w:bCs/>
        </w:rPr>
        <w:t>as peculiaridades do caso concreto;</w:t>
      </w:r>
    </w:p>
    <w:p>
      <w:pPr>
        <w:pStyle w:val="Normal"/>
        <w:numPr>
          <w:ilvl w:val="2"/>
          <w:numId w:val="1"/>
        </w:numPr>
        <w:spacing w:lineRule="auto" w:line="276" w:before="120" w:after="120"/>
        <w:jc w:val="both"/>
        <w:rPr>
          <w:rFonts w:cs="Arial"/>
          <w:bCs/>
        </w:rPr>
      </w:pPr>
      <w:r>
        <w:rPr>
          <w:rFonts w:cs="Arial"/>
          <w:bCs/>
        </w:rPr>
        <w:t>as circunstâncias agravantes ou atenuantes;</w:t>
      </w:r>
    </w:p>
    <w:p>
      <w:pPr>
        <w:pStyle w:val="Normal"/>
        <w:numPr>
          <w:ilvl w:val="2"/>
          <w:numId w:val="1"/>
        </w:numPr>
        <w:spacing w:lineRule="auto" w:line="276" w:before="120" w:after="120"/>
        <w:jc w:val="both"/>
        <w:rPr>
          <w:rFonts w:cs="Arial"/>
          <w:bCs/>
        </w:rPr>
      </w:pPr>
      <w:r>
        <w:rPr>
          <w:rFonts w:cs="Arial"/>
          <w:bCs/>
        </w:rPr>
        <w:t>os danos que dela provierem para a Administração Pública;</w:t>
      </w:r>
    </w:p>
    <w:p>
      <w:pPr>
        <w:pStyle w:val="Normal"/>
        <w:numPr>
          <w:ilvl w:val="2"/>
          <w:numId w:val="1"/>
        </w:numPr>
        <w:spacing w:lineRule="auto" w:line="276" w:before="120" w:after="120"/>
        <w:jc w:val="both"/>
        <w:rPr>
          <w:rFonts w:cs="Arial"/>
          <w:bCs/>
        </w:rPr>
      </w:pPr>
      <w:r>
        <w:rPr>
          <w:rFonts w:cs="Arial"/>
          <w:bCs/>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rPr>
      </w:pPr>
      <w:bookmarkStart w:id="0" w:name="art156%252525C2%252525A76"/>
      <w:bookmarkStart w:id="1" w:name="art156%252525C2%252525A77"/>
      <w:bookmarkStart w:id="2" w:name="art156%252525C2%252525A78"/>
      <w:bookmarkEnd w:id="0"/>
      <w:bookmarkEnd w:id="1"/>
      <w:bookmarkEnd w:id="2"/>
      <w:r>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rPr>
      </w:pPr>
      <w:bookmarkStart w:id="3" w:name="art156%252525C2%252525A79"/>
      <w:bookmarkEnd w:id="3"/>
      <w:r>
        <w:rPr>
          <w:rFonts w:cs="Arial"/>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rPr>
      </w:pPr>
      <w:r>
        <w:rPr>
          <w:rFonts w:cs="Arial"/>
        </w:rPr>
        <w:t>A penalidade de multa pode ser aplicada cumulativamente com as demais sanções.</w:t>
      </w:r>
    </w:p>
    <w:p>
      <w:pPr>
        <w:pStyle w:val="Normal"/>
        <w:numPr>
          <w:ilvl w:val="1"/>
          <w:numId w:val="1"/>
        </w:numPr>
        <w:spacing w:lineRule="auto" w:line="276" w:before="120" w:after="120"/>
        <w:ind w:left="425" w:hanging="0"/>
        <w:jc w:val="both"/>
        <w:rPr>
          <w:rFonts w:cs="Arial"/>
        </w:rPr>
      </w:pPr>
      <w:r>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rPr>
      </w:pPr>
      <w:r>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rPr>
      </w:pPr>
      <w:r>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rPr>
      </w:pPr>
      <w:r>
        <w:rPr>
          <w:rFonts w:cs="Arial"/>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cs="Arial"/>
        </w:rPr>
      </w:pPr>
      <w:r>
        <w:rPr>
          <w:rFonts w:cs="Arial"/>
        </w:rPr>
        <w:t>As sanções por atos praticados no decorrer da contratação estão previstas nos anexos a este Aviso.</w:t>
      </w:r>
    </w:p>
    <w:p>
      <w:pPr>
        <w:pStyle w:val="Normal"/>
        <w:spacing w:lineRule="auto" w:line="276" w:before="120" w:after="120"/>
        <w:ind w:left="425" w:hanging="0"/>
        <w:jc w:val="both"/>
        <w:rPr>
          <w:rFonts w:cs="Arial"/>
        </w:rPr>
      </w:pPr>
      <w:r>
        <w:rPr>
          <w:rFonts w:cs="Arial"/>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DAS DISPOSIÇÕES GERAIS</w:t>
      </w:r>
    </w:p>
    <w:p>
      <w:pPr>
        <w:pStyle w:val="Normal"/>
        <w:numPr>
          <w:ilvl w:val="1"/>
          <w:numId w:val="1"/>
        </w:numPr>
        <w:snapToGrid w:val="false"/>
        <w:spacing w:lineRule="auto" w:line="276" w:before="120" w:after="120"/>
        <w:ind w:left="425" w:hanging="0"/>
        <w:jc w:val="both"/>
        <w:rPr>
          <w:rFonts w:cs="Arial"/>
          <w:szCs w:val="20"/>
        </w:rPr>
      </w:pPr>
      <w:r>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r>
        <w:rPr>
          <w:rFonts w:cs="Arial"/>
          <w:color w:val="000000"/>
          <w:szCs w:val="20"/>
        </w:rPr>
        <w:t>republicar o presente aviso com uma nova data;</w:t>
      </w:r>
    </w:p>
    <w:p>
      <w:pPr>
        <w:pStyle w:val="Normal"/>
        <w:numPr>
          <w:ilvl w:val="2"/>
          <w:numId w:val="1"/>
        </w:numPr>
        <w:spacing w:lineRule="auto" w:line="276" w:before="120" w:after="120"/>
        <w:jc w:val="both"/>
        <w:rPr>
          <w:rFonts w:cs="Arial"/>
          <w:color w:val="000000"/>
          <w:szCs w:val="2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Cs w:val="20"/>
        </w:rPr>
      </w:pPr>
      <w:r>
        <w:rPr>
          <w:rFonts w:cs="Arial"/>
          <w:color w:val="000000"/>
          <w:szCs w:val="20"/>
        </w:rPr>
        <w:t>ANEXO I – Documentação exigida para Habilitação</w:t>
      </w:r>
    </w:p>
    <w:p>
      <w:pPr>
        <w:pStyle w:val="Normal"/>
        <w:numPr>
          <w:ilvl w:val="2"/>
          <w:numId w:val="1"/>
        </w:numPr>
        <w:spacing w:lineRule="auto" w:line="276" w:before="120" w:after="120"/>
        <w:jc w:val="both"/>
        <w:rPr>
          <w:rFonts w:cs="Arial"/>
          <w:color w:val="000000"/>
          <w:szCs w:val="20"/>
        </w:rPr>
      </w:pPr>
      <w:r>
        <w:rPr>
          <w:rFonts w:cs="Arial"/>
          <w:color w:val="000000"/>
          <w:szCs w:val="20"/>
        </w:rPr>
        <w:t>ANEXO II – Estudo Técnico Preliminar;</w:t>
      </w:r>
    </w:p>
    <w:p>
      <w:pPr>
        <w:pStyle w:val="ListParagraph"/>
        <w:numPr>
          <w:ilvl w:val="2"/>
          <w:numId w:val="7"/>
        </w:numPr>
        <w:spacing w:lineRule="auto" w:line="276" w:before="120" w:after="120"/>
        <w:ind w:left="1418" w:hanging="709"/>
        <w:contextualSpacing/>
        <w:jc w:val="both"/>
        <w:rPr>
          <w:rFonts w:cs="Arial"/>
          <w:i/>
          <w:i/>
          <w:iCs/>
          <w:szCs w:val="20"/>
        </w:rPr>
      </w:pPr>
      <w:r>
        <w:rPr>
          <w:rFonts w:cs="Arial"/>
          <w:i/>
          <w:iCs/>
          <w:szCs w:val="20"/>
        </w:rPr>
        <w:t xml:space="preserve">ANEXO </w:t>
      </w:r>
      <w:r>
        <w:rPr>
          <w:rFonts w:cs="Arial"/>
          <w:szCs w:val="20"/>
        </w:rPr>
        <w:t>III – Termo de Referência</w:t>
      </w:r>
    </w:p>
    <w:p>
      <w:pPr>
        <w:pStyle w:val="Normal"/>
        <w:spacing w:lineRule="auto" w:line="276" w:before="0" w:after="120"/>
        <w:ind w:right="-15" w:hanging="0"/>
        <w:jc w:val="both"/>
        <w:rPr>
          <w:rFonts w:cs="Arial"/>
          <w:i/>
          <w:i/>
          <w:iCs/>
          <w:color w:val="FF0000"/>
          <w:szCs w:val="20"/>
        </w:rPr>
      </w:pPr>
      <w:r>
        <w:rPr>
          <w:rFonts w:cs="Arial"/>
          <w:i/>
          <w:iCs/>
          <w:color w:val="FF0000"/>
          <w:szCs w:val="20"/>
        </w:rPr>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center"/>
        <w:rPr/>
      </w:pPr>
      <w:r>
        <w:rPr>
          <w:rFonts w:cs="Arial"/>
          <w:color w:val="000000"/>
          <w:szCs w:val="20"/>
        </w:rPr>
        <w:t>Olinda-PE, 0</w:t>
      </w:r>
      <w:r>
        <w:rPr>
          <w:rFonts w:cs="Arial"/>
          <w:color w:val="000000"/>
          <w:szCs w:val="20"/>
        </w:rPr>
        <w:t>8</w:t>
      </w:r>
      <w:r>
        <w:rPr>
          <w:rFonts w:cs="Arial"/>
          <w:color w:val="000000"/>
          <w:szCs w:val="20"/>
        </w:rPr>
        <w:t xml:space="preserve"> de outubro de 2021</w:t>
      </w:r>
    </w:p>
    <w:p>
      <w:pPr>
        <w:pStyle w:val="Normal"/>
        <w:spacing w:lineRule="auto" w:line="276"/>
        <w:jc w:val="center"/>
        <w:rPr>
          <w:rFonts w:cs="Arial"/>
          <w:b/>
          <w:b/>
          <w:bCs/>
          <w:iCs/>
          <w:color w:val="000000"/>
          <w:szCs w:val="20"/>
        </w:rPr>
      </w:pPr>
      <w:r>
        <w:rPr>
          <w:rFonts w:cs="Arial"/>
          <w:b/>
          <w:bCs/>
          <w:iCs/>
          <w:color w:val="000000"/>
          <w:szCs w:val="20"/>
        </w:rPr>
      </w:r>
    </w:p>
    <w:p>
      <w:pPr>
        <w:pStyle w:val="Normal"/>
        <w:spacing w:lineRule="auto" w:line="276"/>
        <w:jc w:val="center"/>
        <w:rPr>
          <w:rFonts w:cs="Arial"/>
          <w:b/>
          <w:b/>
          <w:bCs/>
          <w:iCs/>
          <w:color w:val="000000"/>
          <w:szCs w:val="20"/>
        </w:rPr>
      </w:pPr>
      <w:r>
        <w:rPr>
          <w:rFonts w:cs="Arial"/>
          <w:b/>
          <w:bCs/>
          <w:iCs/>
          <w:color w:val="000000"/>
          <w:szCs w:val="20"/>
        </w:rPr>
        <w:t>HENRIQUE CESAR THEOPHILO GASPAR DE OLIVEIRA – Cel</w:t>
      </w:r>
    </w:p>
    <w:p>
      <w:pPr>
        <w:pStyle w:val="Normal"/>
        <w:spacing w:lineRule="auto" w:line="276"/>
        <w:jc w:val="center"/>
        <w:rPr/>
      </w:pPr>
      <w:r>
        <w:rPr>
          <w:rFonts w:cs="Arial"/>
          <w:iCs/>
          <w:color w:val="000000"/>
          <w:szCs w:val="20"/>
        </w:rPr>
        <w:t>Ordenador de Despesas do 7º Grupo de Artilharia de Campanha</w:t>
      </w:r>
    </w:p>
    <w:p>
      <w:pPr>
        <w:pStyle w:val="Normal"/>
        <w:spacing w:lineRule="auto" w:line="276"/>
        <w:jc w:val="center"/>
        <w:rPr>
          <w:rFonts w:cs="Arial"/>
          <w:iCs/>
          <w:color w:val="000000"/>
          <w:szCs w:val="20"/>
        </w:rPr>
      </w:pPr>
      <w:r>
        <w:rPr>
          <w:rFonts w:cs="Arial"/>
          <w:iCs/>
          <w:color w:val="000000"/>
          <w:szCs w:val="20"/>
        </w:rPr>
      </w:r>
    </w:p>
    <w:p>
      <w:pPr>
        <w:pStyle w:val="Normal"/>
        <w:jc w:val="center"/>
        <w:rPr>
          <w:rFonts w:cs="Arial"/>
          <w:b/>
          <w:b/>
          <w:bCs/>
          <w:lang w:eastAsia="en-US"/>
        </w:rPr>
      </w:pPr>
      <w:r>
        <w:rPr>
          <w:rFonts w:cs="Arial"/>
          <w:b/>
          <w:bCs/>
          <w:lang w:eastAsia="en-US"/>
        </w:rPr>
        <w:t>ANEXO I – DOCUMENTAÇÃO EXIGIDA PARA HABILITAÇÃO</w:t>
      </w:r>
    </w:p>
    <w:p>
      <w:pPr>
        <w:pStyle w:val="Normal"/>
        <w:rPr>
          <w:rFonts w:cs="Arial"/>
          <w:lang w:eastAsia="en-US"/>
        </w:rPr>
      </w:pPr>
      <w:r>
        <w:rPr>
          <w:rFonts w:cs="Arial"/>
          <w:lang w:eastAsia="en-US"/>
        </w:rPr>
      </w:r>
    </w:p>
    <w:p>
      <w:pPr>
        <w:pStyle w:val="PADRO"/>
        <w:keepNext w:val="false"/>
        <w:widowControl/>
        <w:numPr>
          <w:ilvl w:val="0"/>
          <w:numId w:val="3"/>
        </w:numPr>
        <w:shd w:val="clear" w:fill="FFFFFF"/>
        <w:spacing w:before="120" w:after="120"/>
        <w:rPr>
          <w:rFonts w:ascii="Arial" w:hAnsi="Arial" w:cs="Arial"/>
          <w:szCs w:val="20"/>
        </w:rPr>
      </w:pPr>
      <w:r>
        <w:rPr>
          <w:rFonts w:cs="Arial" w:ascii="Arial" w:hAnsi="Arial"/>
          <w:b/>
          <w:bCs/>
          <w:color w:val="000000"/>
          <w:szCs w:val="20"/>
        </w:rPr>
        <w:t xml:space="preserve">Habilitação jurídica: </w:t>
      </w:r>
    </w:p>
    <w:p>
      <w:pPr>
        <w:pStyle w:val="Normal"/>
        <w:numPr>
          <w:ilvl w:val="1"/>
          <w:numId w:val="3"/>
        </w:numPr>
        <w:tabs>
          <w:tab w:val="clear" w:pos="708"/>
          <w:tab w:val="left" w:pos="1440" w:leader="none"/>
        </w:tabs>
        <w:snapToGrid w:val="false"/>
        <w:spacing w:lineRule="auto" w:line="276" w:before="120" w:after="120"/>
        <w:jc w:val="both"/>
        <w:rPr>
          <w:rFonts w:cs="Arial"/>
          <w:szCs w:val="20"/>
        </w:rPr>
      </w:pPr>
      <w:r>
        <w:rPr>
          <w:rFonts w:cs="Arial"/>
          <w:szCs w:val="20"/>
        </w:rPr>
        <w:t>no caso de empresário individual, inscrição no Registro Público de Empresas Mercantis, a cargo da Junta Comercial da respectiva sede;</w:t>
      </w:r>
    </w:p>
    <w:p>
      <w:pPr>
        <w:pStyle w:val="ListParagraph"/>
        <w:numPr>
          <w:ilvl w:val="1"/>
          <w:numId w:val="3"/>
        </w:numPr>
        <w:tabs>
          <w:tab w:val="clear" w:pos="708"/>
          <w:tab w:val="left" w:pos="1440" w:leader="none"/>
        </w:tabs>
        <w:snapToGrid w:val="false"/>
        <w:spacing w:lineRule="auto" w:line="276" w:before="120" w:after="120"/>
        <w:contextualSpacing/>
        <w:jc w:val="both"/>
        <w:rPr>
          <w:rFonts w:cs="Arial"/>
          <w:color w:val="000000"/>
          <w:szCs w:val="20"/>
        </w:rPr>
      </w:pPr>
      <w:r>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3"/>
        </w:numPr>
        <w:tabs>
          <w:tab w:val="clear" w:pos="708"/>
          <w:tab w:val="left" w:pos="1440" w:leader="none"/>
        </w:tabs>
        <w:snapToGrid w:val="false"/>
        <w:spacing w:lineRule="auto" w:line="276" w:before="120" w:after="120"/>
        <w:jc w:val="both"/>
        <w:rPr>
          <w:rFonts w:cs="Arial"/>
          <w:color w:val="000000"/>
          <w:szCs w:val="20"/>
        </w:rPr>
      </w:pPr>
      <w:r>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3"/>
        </w:numPr>
        <w:tabs>
          <w:tab w:val="clear" w:pos="708"/>
          <w:tab w:val="left" w:pos="1440" w:leader="none"/>
        </w:tabs>
        <w:snapToGrid w:val="false"/>
        <w:spacing w:lineRule="auto" w:line="276" w:before="120" w:after="120"/>
        <w:jc w:val="both"/>
        <w:rPr>
          <w:rFonts w:cs="Arial"/>
          <w:color w:val="000000"/>
          <w:szCs w:val="20"/>
        </w:rPr>
      </w:pPr>
      <w:r>
        <w:rPr>
          <w:rFonts w:cs="Arial"/>
          <w:color w:val="000000"/>
          <w:szCs w:val="20"/>
        </w:rPr>
        <w:t>inscrição no Registro Público de Empresas Mercantis onde opera, com averbação no Registro onde tem sede a matriz, no caso de ser o participante sucursal, filial ou agência;</w:t>
      </w:r>
    </w:p>
    <w:p>
      <w:pPr>
        <w:pStyle w:val="Normal"/>
        <w:numPr>
          <w:ilvl w:val="1"/>
          <w:numId w:val="3"/>
        </w:numPr>
        <w:tabs>
          <w:tab w:val="clear" w:pos="708"/>
          <w:tab w:val="left" w:pos="1440" w:leader="none"/>
        </w:tabs>
        <w:snapToGrid w:val="false"/>
        <w:spacing w:lineRule="auto" w:line="276" w:before="120" w:after="120"/>
        <w:jc w:val="both"/>
        <w:rPr>
          <w:rFonts w:cs="Arial"/>
          <w:szCs w:val="20"/>
        </w:rPr>
      </w:pPr>
      <w:r>
        <w:rPr>
          <w:rFonts w:cs="Arial"/>
          <w:color w:val="000000"/>
          <w:szCs w:val="20"/>
        </w:rPr>
        <w:t>No caso de sociedade simples: inscrição do ato constitutivo no Registro Civil das Pessoas Jurídicas do local de sua sede, acompanhada de prova da indicação dos seus administradores;</w:t>
      </w:r>
    </w:p>
    <w:p>
      <w:pPr>
        <w:pStyle w:val="Normal"/>
        <w:numPr>
          <w:ilvl w:val="1"/>
          <w:numId w:val="3"/>
        </w:numPr>
        <w:tabs>
          <w:tab w:val="clear" w:pos="708"/>
          <w:tab w:val="left" w:pos="1440" w:leader="none"/>
        </w:tabs>
        <w:snapToGrid w:val="false"/>
        <w:spacing w:lineRule="auto" w:line="276" w:before="120" w:after="120"/>
        <w:jc w:val="both"/>
        <w:rPr>
          <w:rFonts w:cs="Arial"/>
          <w:szCs w:val="20"/>
        </w:rPr>
      </w:pPr>
      <w:r>
        <w:rPr>
          <w:rFonts w:cs="Arial"/>
          <w:color w:val="000000"/>
          <w:szCs w:val="20"/>
        </w:rPr>
        <w:t xml:space="preserve">decreto de autorização, em se tratando de sociedade empresária estrangeira em </w:t>
      </w:r>
      <w:r>
        <w:rPr>
          <w:rFonts w:cs="Arial"/>
          <w:szCs w:val="20"/>
        </w:rPr>
        <w:t>funcionamento no País;</w:t>
      </w:r>
    </w:p>
    <w:p>
      <w:pPr>
        <w:pStyle w:val="Normal"/>
        <w:numPr>
          <w:ilvl w:val="1"/>
          <w:numId w:val="3"/>
        </w:numPr>
        <w:tabs>
          <w:tab w:val="clear" w:pos="708"/>
          <w:tab w:val="left" w:pos="1440" w:leader="none"/>
        </w:tabs>
        <w:snapToGrid w:val="false"/>
        <w:spacing w:lineRule="auto" w:line="276" w:before="120" w:after="120"/>
        <w:jc w:val="both"/>
        <w:rPr>
          <w:rFonts w:cs="Arial"/>
          <w:szCs w:val="20"/>
        </w:rPr>
      </w:pPr>
      <w:r>
        <w:rPr>
          <w:rFonts w:cs="Arial"/>
          <w:szCs w:val="20"/>
        </w:rPr>
        <w:t xml:space="preserve"> </w:t>
      </w:r>
      <w:r>
        <w:rPr>
          <w:rFonts w:cs="Arial"/>
          <w:szCs w:val="20"/>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1"/>
          <w:numId w:val="3"/>
        </w:numPr>
        <w:spacing w:lineRule="auto" w:line="276" w:before="120" w:after="120"/>
        <w:contextualSpacing/>
        <w:jc w:val="both"/>
        <w:rPr>
          <w:rFonts w:cs="Arial"/>
          <w:bCs/>
          <w:color w:val="000000"/>
          <w:szCs w:val="20"/>
        </w:rPr>
      </w:pPr>
      <w:r>
        <w:rPr>
          <w:rFonts w:cs="Arial"/>
          <w:bCs/>
          <w:color w:val="000000"/>
          <w:szCs w:val="20"/>
        </w:rPr>
        <w:t>Os documentos acima deverão estar acompanhados de todas as alterações ou da consolidação respectiva.</w:t>
      </w:r>
    </w:p>
    <w:p>
      <w:pPr>
        <w:pStyle w:val="ListParagraph"/>
        <w:spacing w:lineRule="auto" w:line="276" w:before="120" w:after="120"/>
        <w:ind w:left="1134" w:hanging="0"/>
        <w:contextualSpacing/>
        <w:jc w:val="both"/>
        <w:rPr>
          <w:rFonts w:cs="Arial"/>
          <w:bCs/>
          <w:color w:val="000000"/>
          <w:szCs w:val="20"/>
        </w:rPr>
      </w:pPr>
      <w:r>
        <w:rPr>
          <w:rFonts w:cs="Arial"/>
          <w:bCs/>
          <w:color w:val="000000"/>
          <w:szCs w:val="20"/>
        </w:rPr>
      </w:r>
    </w:p>
    <w:p>
      <w:pPr>
        <w:pStyle w:val="PADRO"/>
        <w:keepNext w:val="false"/>
        <w:widowControl/>
        <w:numPr>
          <w:ilvl w:val="0"/>
          <w:numId w:val="3"/>
        </w:numPr>
        <w:shd w:val="clear" w:fill="FFFFFF"/>
        <w:spacing w:before="120" w:after="120"/>
        <w:rPr>
          <w:rFonts w:ascii="Arial" w:hAnsi="Arial" w:cs="Arial"/>
          <w:szCs w:val="20"/>
        </w:rPr>
      </w:pPr>
      <w:r>
        <w:rPr>
          <w:rFonts w:cs="Arial" w:ascii="Arial" w:hAnsi="Arial"/>
          <w:b/>
          <w:bCs/>
          <w:color w:val="000000"/>
          <w:szCs w:val="20"/>
        </w:rPr>
        <w:t xml:space="preserve"> </w:t>
      </w:r>
      <w:r>
        <w:rPr>
          <w:rFonts w:cs="Arial" w:ascii="Arial" w:hAnsi="Arial"/>
          <w:b/>
          <w:bCs/>
          <w:color w:val="000000"/>
          <w:szCs w:val="20"/>
        </w:rPr>
        <w:t>Regularidade fiscal, social e trabalhista:</w:t>
      </w:r>
    </w:p>
    <w:p>
      <w:pPr>
        <w:pStyle w:val="Normal"/>
        <w:numPr>
          <w:ilvl w:val="1"/>
          <w:numId w:val="3"/>
        </w:numPr>
        <w:tabs>
          <w:tab w:val="clear" w:pos="708"/>
          <w:tab w:val="left" w:pos="1440" w:leader="none"/>
        </w:tabs>
        <w:snapToGrid w:val="false"/>
        <w:spacing w:lineRule="auto" w:line="276" w:before="120" w:after="120"/>
        <w:jc w:val="both"/>
        <w:rPr>
          <w:rFonts w:cs="Arial"/>
          <w:szCs w:val="20"/>
        </w:rPr>
      </w:pPr>
      <w:r>
        <w:rPr>
          <w:rFonts w:cs="Arial"/>
          <w:szCs w:val="20"/>
          <w:lang w:eastAsia="en-US"/>
        </w:rPr>
        <w:t>prova de inscrição no Cadastro Nacional de Pessoas Jurídicas ou no Cadastro de Pessoas Físicas, conforme o caso;</w:t>
      </w:r>
    </w:p>
    <w:p>
      <w:pPr>
        <w:pStyle w:val="Normal"/>
        <w:numPr>
          <w:ilvl w:val="1"/>
          <w:numId w:val="3"/>
        </w:numPr>
        <w:tabs>
          <w:tab w:val="clear" w:pos="708"/>
          <w:tab w:val="left" w:pos="1440" w:leader="none"/>
        </w:tabs>
        <w:snapToGrid w:val="false"/>
        <w:spacing w:lineRule="auto" w:line="276" w:before="120" w:after="120"/>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clear" w:pos="708"/>
          <w:tab w:val="left" w:pos="1440" w:leader="none"/>
        </w:tabs>
        <w:snapToGrid w:val="false"/>
        <w:spacing w:lineRule="auto" w:line="276" w:before="120" w:after="120"/>
        <w:jc w:val="both"/>
        <w:rPr>
          <w:rFonts w:cs="Arial"/>
          <w:color w:val="000000"/>
          <w:szCs w:val="20"/>
        </w:rPr>
      </w:pPr>
      <w:r>
        <w:rPr>
          <w:rFonts w:cs="Arial"/>
          <w:color w:val="000000"/>
          <w:szCs w:val="20"/>
          <w:lang w:eastAsia="en-US"/>
        </w:rPr>
        <w:t>prova de regularidade com o Fundo de Garantia do Tempo de Serviço (FGTS);</w:t>
      </w:r>
    </w:p>
    <w:p>
      <w:pPr>
        <w:pStyle w:val="Normal"/>
        <w:numPr>
          <w:ilvl w:val="1"/>
          <w:numId w:val="3"/>
        </w:numPr>
        <w:tabs>
          <w:tab w:val="clear" w:pos="708"/>
          <w:tab w:val="left" w:pos="1440" w:leader="none"/>
        </w:tabs>
        <w:snapToGrid w:val="false"/>
        <w:spacing w:lineRule="auto" w:line="276" w:before="120" w:after="120"/>
        <w:jc w:val="both"/>
        <w:rPr>
          <w:rFonts w:cs="Arial"/>
          <w:szCs w:val="20"/>
        </w:rPr>
      </w:pPr>
      <w:r>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clear" w:pos="708"/>
          <w:tab w:val="left" w:pos="1440" w:leader="none"/>
        </w:tabs>
        <w:snapToGrid w:val="false"/>
        <w:spacing w:lineRule="auto" w:line="276" w:before="120" w:after="120"/>
        <w:jc w:val="both"/>
        <w:rPr>
          <w:rFonts w:cs="Arial"/>
          <w:bCs/>
          <w:szCs w:val="20"/>
        </w:rPr>
      </w:pPr>
      <w:r>
        <w:rPr>
          <w:rFonts w:cs="Arial"/>
          <w:bCs/>
          <w:szCs w:val="20"/>
        </w:rPr>
        <w:t xml:space="preserve">prova de </w:t>
      </w:r>
      <w:r>
        <w:rPr>
          <w:rFonts w:cs="Arial"/>
          <w:szCs w:val="20"/>
        </w:rPr>
        <w:t>inscrição no cadastro de contribuintes estadual e/ou municipal, relativo ao domicílio ou sede do fornecedor, pertinente ao seu ramo de atividade e compatível com o objeto contratual</w:t>
      </w:r>
      <w:r>
        <w:rPr>
          <w:rFonts w:cs="Arial"/>
          <w:bCs/>
          <w:szCs w:val="20"/>
        </w:rPr>
        <w:t xml:space="preserve">; </w:t>
      </w:r>
    </w:p>
    <w:p>
      <w:pPr>
        <w:pStyle w:val="Normal"/>
        <w:numPr>
          <w:ilvl w:val="1"/>
          <w:numId w:val="3"/>
        </w:numPr>
        <w:tabs>
          <w:tab w:val="clear" w:pos="708"/>
          <w:tab w:val="left" w:pos="1440" w:leader="none"/>
        </w:tabs>
        <w:snapToGrid w:val="false"/>
        <w:spacing w:lineRule="auto" w:line="276" w:before="120" w:after="120"/>
        <w:jc w:val="both"/>
        <w:rPr>
          <w:rFonts w:cs="Arial"/>
          <w:b/>
          <w:b/>
          <w:szCs w:val="20"/>
        </w:rPr>
      </w:pPr>
      <w:r>
        <w:rPr>
          <w:rFonts w:cs="Arial"/>
          <w:szCs w:val="20"/>
        </w:rPr>
        <w:t xml:space="preserve">prova de regularidade com a Fazenda Estadual e/ou Municipal do domicílio ou sede do fornecedor, relativa à atividade em cujo exercício contrata ou concorre; </w:t>
      </w:r>
    </w:p>
    <w:p>
      <w:pPr>
        <w:pStyle w:val="Normal"/>
        <w:numPr>
          <w:ilvl w:val="1"/>
          <w:numId w:val="3"/>
        </w:numPr>
        <w:tabs>
          <w:tab w:val="clear" w:pos="708"/>
          <w:tab w:val="left" w:pos="1440" w:leader="none"/>
        </w:tabs>
        <w:snapToGrid w:val="false"/>
        <w:spacing w:lineRule="auto" w:line="276" w:before="120" w:after="120"/>
        <w:jc w:val="both"/>
        <w:rPr>
          <w:rFonts w:cs="Arial"/>
          <w:b/>
          <w:b/>
          <w:szCs w:val="20"/>
        </w:rPr>
      </w:pPr>
      <w:r>
        <w:rPr>
          <w:rFonts w:cs="Arial"/>
          <w:szCs w:val="20"/>
        </w:rPr>
        <w:t xml:space="preserve">caso o fornecedor seja considerado isento dos tributos </w:t>
      </w:r>
      <w:r>
        <w:rPr>
          <w:rFonts w:cs="Arial"/>
          <w:iCs/>
          <w:szCs w:val="20"/>
        </w:rPr>
        <w:t xml:space="preserve">estaduais </w:t>
      </w:r>
      <w:r>
        <w:rPr>
          <w:rFonts w:cs="Arial"/>
          <w:b/>
          <w:iCs/>
          <w:szCs w:val="20"/>
          <w:u w:val="single"/>
        </w:rPr>
        <w:t>ou</w:t>
      </w:r>
      <w:r>
        <w:rPr>
          <w:rFonts w:cs="Arial"/>
          <w:iCs/>
          <w:szCs w:val="20"/>
        </w:rPr>
        <w:t xml:space="preserve"> municipais</w:t>
      </w:r>
      <w:r>
        <w:rPr>
          <w:rFonts w:cs="Arial"/>
          <w:szCs w:val="20"/>
        </w:rPr>
        <w:t xml:space="preserve"> relacionados ao objeto contratual, deverá comprovar tal condição mediante a apresentação de declaração da Fazenda respectiva do seu domicílio ou sede, ou outra equivalente, na forma da lei; </w:t>
      </w:r>
    </w:p>
    <w:p>
      <w:pPr>
        <w:pStyle w:val="PADRO"/>
        <w:keepNext w:val="false"/>
        <w:widowControl/>
        <w:numPr>
          <w:ilvl w:val="0"/>
          <w:numId w:val="3"/>
        </w:numPr>
        <w:shd w:val="clear" w:fill="FFFFFF"/>
        <w:spacing w:before="120" w:after="120"/>
        <w:rPr>
          <w:rFonts w:ascii="Arial" w:hAnsi="Arial" w:cs="Arial"/>
          <w:szCs w:val="20"/>
        </w:rPr>
      </w:pPr>
      <w:r>
        <w:rPr>
          <w:rFonts w:cs="Arial" w:ascii="Arial" w:hAnsi="Arial"/>
          <w:b/>
          <w:color w:val="000000"/>
          <w:szCs w:val="20"/>
        </w:rPr>
        <w:t>Qualificação Econômico-Financeira:</w:t>
      </w:r>
      <w:r>
        <w:rPr>
          <w:rFonts w:cs="Arial" w:ascii="Arial" w:hAnsi="Arial"/>
          <w:b/>
          <w:bCs/>
          <w:iCs/>
          <w:color w:val="000000"/>
          <w:szCs w:val="20"/>
        </w:rPr>
        <w:t xml:space="preserve"> </w:t>
      </w:r>
    </w:p>
    <w:p>
      <w:pPr>
        <w:pStyle w:val="ListParagraph"/>
        <w:numPr>
          <w:ilvl w:val="1"/>
          <w:numId w:val="3"/>
        </w:numPr>
        <w:tabs>
          <w:tab w:val="clear" w:pos="708"/>
          <w:tab w:val="left" w:pos="1440" w:leader="none"/>
        </w:tabs>
        <w:snapToGrid w:val="false"/>
        <w:spacing w:lineRule="auto" w:line="276" w:before="120" w:after="120"/>
        <w:contextualSpacing/>
        <w:jc w:val="both"/>
        <w:rPr>
          <w:rFonts w:cs="Arial"/>
          <w:color w:val="000000"/>
          <w:szCs w:val="20"/>
        </w:rPr>
      </w:pPr>
      <w:r>
        <w:rPr>
          <w:rFonts w:cs="Arial"/>
          <w:color w:val="000000"/>
          <w:szCs w:val="20"/>
        </w:rPr>
        <w:t>certidão negativa de falência expedida pelo distribuidor da sede do fornecedor;</w:t>
      </w:r>
    </w:p>
    <w:p>
      <w:pPr>
        <w:pStyle w:val="Normal"/>
        <w:numPr>
          <w:ilvl w:val="1"/>
          <w:numId w:val="3"/>
        </w:numPr>
        <w:tabs>
          <w:tab w:val="clear" w:pos="708"/>
          <w:tab w:val="left" w:pos="1440" w:leader="none"/>
        </w:tabs>
        <w:snapToGrid w:val="false"/>
        <w:spacing w:lineRule="auto" w:line="276" w:before="120" w:after="120"/>
        <w:jc w:val="both"/>
        <w:rPr>
          <w:rFonts w:cs="Arial"/>
          <w:color w:val="000000"/>
          <w:szCs w:val="20"/>
        </w:rPr>
      </w:pPr>
      <w:r>
        <w:rPr>
          <w:rFonts w:cs="Arial"/>
          <w:color w:val="000000"/>
          <w:szCs w:val="20"/>
        </w:rPr>
        <w:t>balanço patrimonial, demonstração de resultado de exercício e demais demonstrações contábeis dos 2 (dois) últimos exercícios sociais;</w:t>
      </w:r>
    </w:p>
    <w:p>
      <w:pPr>
        <w:pStyle w:val="Normal"/>
        <w:numPr>
          <w:ilvl w:val="2"/>
          <w:numId w:val="3"/>
        </w:numPr>
        <w:spacing w:lineRule="auto" w:line="276" w:before="120" w:after="120"/>
        <w:jc w:val="both"/>
        <w:rPr>
          <w:rFonts w:cs="Arial"/>
          <w:color w:val="000000"/>
          <w:szCs w:val="20"/>
        </w:rPr>
      </w:pPr>
      <w:r>
        <w:rPr>
          <w:rFonts w:cs="Arial"/>
          <w:color w:val="000000"/>
          <w:szCs w:val="20"/>
        </w:rPr>
        <w:t>As empresas criadas no exercício financeiro da dispensa deverão atender a todas as exigências da habilitação e poderão substituir os demonstrativos contábeis pelo balanço de abertura.</w:t>
      </w:r>
    </w:p>
    <w:p>
      <w:pPr>
        <w:pStyle w:val="Normal"/>
        <w:numPr>
          <w:ilvl w:val="2"/>
          <w:numId w:val="3"/>
        </w:numPr>
        <w:spacing w:lineRule="auto" w:line="276" w:before="120" w:after="120"/>
        <w:jc w:val="both"/>
        <w:rPr>
          <w:rFonts w:cs="Arial"/>
          <w:color w:val="000000"/>
          <w:szCs w:val="20"/>
        </w:rPr>
      </w:pPr>
      <w:r>
        <w:rPr>
          <w:rFonts w:cs="Arial"/>
          <w:color w:val="000000"/>
          <w:szCs w:val="20"/>
        </w:rPr>
        <w:t>Os documentos referidos acima limitar-se-ão ao último exercício no caso de a pessoa jurídica ter sido constituída há menos de 2 (dois) anos.</w:t>
      </w:r>
    </w:p>
    <w:p>
      <w:pPr>
        <w:pStyle w:val="Nivel4"/>
        <w:numPr>
          <w:ilvl w:val="2"/>
          <w:numId w:val="3"/>
        </w:numPr>
        <w:rPr>
          <w:rFonts w:ascii="Arial" w:hAnsi="Arial"/>
          <w:iCs/>
        </w:rPr>
      </w:pPr>
      <w:r>
        <w:rPr>
          <w:rFonts w:ascii="Arial" w:hAnsi="Arial"/>
          <w:iCs/>
        </w:rPr>
        <w:t>Caso o fornecedor seja cooperativa, tais documentos deverão ser acompanhados da última auditoria contábil-financeira, conforme dispõe o artigo 112 da Lei nº 5.764, de 1971, ou de uma declaração, sob as penas da lei, de que tal auditoria não foi exigida pelo órgão fiscalizador;</w:t>
      </w:r>
    </w:p>
    <w:p>
      <w:pPr>
        <w:pStyle w:val="Normal"/>
        <w:numPr>
          <w:ilvl w:val="1"/>
          <w:numId w:val="3"/>
        </w:numPr>
        <w:tabs>
          <w:tab w:val="clear" w:pos="708"/>
          <w:tab w:val="left" w:pos="1440" w:leader="none"/>
        </w:tabs>
        <w:snapToGrid w:val="false"/>
        <w:spacing w:lineRule="auto" w:line="276" w:before="120" w:after="120"/>
        <w:jc w:val="both"/>
        <w:rPr>
          <w:rFonts w:cs="Arial"/>
          <w:color w:val="000000"/>
          <w:szCs w:val="20"/>
        </w:rPr>
      </w:pPr>
      <w:r>
        <w:rPr>
          <w:rFonts w:cs="Arial"/>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6487" w:type="dxa"/>
        <w:jc w:val="left"/>
        <w:tblInd w:w="1134" w:type="dxa"/>
        <w:tblCellMar>
          <w:top w:w="0" w:type="dxa"/>
          <w:left w:w="123" w:type="dxa"/>
          <w:bottom w:w="0" w:type="dxa"/>
          <w:right w:w="108" w:type="dxa"/>
        </w:tblCellMar>
        <w:tblLook w:val="04a0" w:noVBand="1" w:noHBand="0" w:lastColumn="0" w:firstColumn="1" w:lastRow="0" w:firstRow="1"/>
      </w:tblPr>
      <w:tblGrid>
        <w:gridCol w:w="2234"/>
        <w:gridCol w:w="4252"/>
      </w:tblGrid>
      <w:tr>
        <w:trPr/>
        <w:tc>
          <w:tcPr>
            <w:tcW w:w="2234" w:type="dxa"/>
            <w:vMerge w:val="restart"/>
            <w:tcBorders>
              <w:top w:val="nil"/>
              <w:left w:val="nil"/>
              <w:bottom w:val="nil"/>
              <w:right w:val="nil"/>
              <w:insideH w:val="nil"/>
              <w:insideV w:val="nil"/>
            </w:tcBorders>
            <w:shd w:fill="auto" w:val="clear"/>
            <w:vAlign w:val="center"/>
          </w:tcPr>
          <w:p>
            <w:pPr>
              <w:pStyle w:val="Normal"/>
              <w:tabs>
                <w:tab w:val="clear" w:pos="708"/>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LG =</w:t>
            </w:r>
          </w:p>
        </w:tc>
        <w:tc>
          <w:tcPr>
            <w:tcW w:w="4252" w:type="dxa"/>
            <w:tcBorders>
              <w:top w:val="nil"/>
              <w:left w:val="nil"/>
              <w:right w:val="nil"/>
              <w:insideV w:val="nil"/>
            </w:tcBorders>
            <w:shd w:fill="auto" w:val="clear"/>
            <w:vAlign w:val="bottom"/>
          </w:tcPr>
          <w:p>
            <w:pPr>
              <w:pStyle w:val="Normal"/>
              <w:tabs>
                <w:tab w:val="clear" w:pos="708"/>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Ativo Circulante + Realizável a Longo Prazo</w:t>
            </w:r>
          </w:p>
        </w:tc>
      </w:tr>
      <w:tr>
        <w:trPr/>
        <w:tc>
          <w:tcPr>
            <w:tcW w:w="2234" w:type="dxa"/>
            <w:vMerge w:val="continue"/>
            <w:tcBorders>
              <w:top w:val="nil"/>
              <w:left w:val="nil"/>
              <w:bottom w:val="nil"/>
              <w:right w:val="nil"/>
              <w:insideH w:val="nil"/>
              <w:insideV w:val="nil"/>
            </w:tcBorders>
            <w:shd w:fill="auto" w:val="clear"/>
          </w:tcPr>
          <w:p>
            <w:pPr>
              <w:pStyle w:val="Normal"/>
              <w:tabs>
                <w:tab w:val="clear" w:pos="708"/>
                <w:tab w:val="left" w:pos="1440" w:leader="none"/>
              </w:tabs>
              <w:snapToGrid w:val="false"/>
              <w:spacing w:lineRule="auto" w:line="276" w:before="0" w:after="0"/>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4252" w:type="dxa"/>
            <w:tcBorders>
              <w:top w:val="nil"/>
              <w:left w:val="nil"/>
              <w:bottom w:val="nil"/>
              <w:right w:val="nil"/>
              <w:insideH w:val="nil"/>
              <w:insideV w:val="nil"/>
            </w:tcBorders>
            <w:shd w:fill="auto" w:val="clear"/>
          </w:tcPr>
          <w:p>
            <w:pPr>
              <w:pStyle w:val="Normal"/>
              <w:tabs>
                <w:tab w:val="clear" w:pos="708"/>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Passivo Circulante + Passivo Não Circulante</w:t>
            </w:r>
          </w:p>
        </w:tc>
      </w:tr>
    </w:tbl>
    <w:p>
      <w:pPr>
        <w:pStyle w:val="Normal"/>
        <w:tabs>
          <w:tab w:val="clear" w:pos="708"/>
          <w:tab w:val="left" w:pos="1440" w:leader="none"/>
        </w:tabs>
        <w:snapToGrid w:val="false"/>
        <w:spacing w:lineRule="auto" w:line="276"/>
        <w:ind w:left="1134" w:hanging="0"/>
        <w:jc w:val="both"/>
        <w:rPr>
          <w:rFonts w:cs="Arial"/>
          <w:color w:val="000000"/>
          <w:szCs w:val="20"/>
        </w:rPr>
      </w:pPr>
      <w:r>
        <w:rPr>
          <w:rFonts w:cs="Arial"/>
          <w:color w:val="000000"/>
          <w:szCs w:val="20"/>
        </w:rPr>
      </w:r>
    </w:p>
    <w:tbl>
      <w:tblPr>
        <w:tblStyle w:val="Tabelacomgrade"/>
        <w:tblW w:w="6629" w:type="dxa"/>
        <w:jc w:val="left"/>
        <w:tblInd w:w="1134" w:type="dxa"/>
        <w:tblCellMar>
          <w:top w:w="0" w:type="dxa"/>
          <w:left w:w="123" w:type="dxa"/>
          <w:bottom w:w="0" w:type="dxa"/>
          <w:right w:w="108" w:type="dxa"/>
        </w:tblCellMar>
        <w:tblLook w:val="04a0" w:noVBand="1" w:noHBand="0" w:lastColumn="0" w:firstColumn="1" w:lastRow="0" w:firstRow="1"/>
      </w:tblPr>
      <w:tblGrid>
        <w:gridCol w:w="2234"/>
        <w:gridCol w:w="4394"/>
      </w:tblGrid>
      <w:tr>
        <w:trPr>
          <w:cantSplit w:val="true"/>
        </w:trPr>
        <w:tc>
          <w:tcPr>
            <w:tcW w:w="2234" w:type="dxa"/>
            <w:vMerge w:val="restart"/>
            <w:tcBorders>
              <w:top w:val="nil"/>
              <w:left w:val="nil"/>
              <w:bottom w:val="nil"/>
              <w:right w:val="nil"/>
              <w:insideH w:val="nil"/>
              <w:insideV w:val="nil"/>
            </w:tcBorders>
            <w:shd w:fill="auto" w:val="clear"/>
            <w:vAlign w:val="center"/>
          </w:tcPr>
          <w:p>
            <w:pPr>
              <w:pStyle w:val="Normal"/>
              <w:tabs>
                <w:tab w:val="clear" w:pos="708"/>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SG =</w:t>
            </w:r>
          </w:p>
        </w:tc>
        <w:tc>
          <w:tcPr>
            <w:tcW w:w="4394" w:type="dxa"/>
            <w:tcBorders>
              <w:top w:val="nil"/>
              <w:left w:val="nil"/>
              <w:right w:val="nil"/>
              <w:insideV w:val="nil"/>
            </w:tcBorders>
            <w:shd w:fill="auto" w:val="clear"/>
            <w:vAlign w:val="bottom"/>
          </w:tcPr>
          <w:p>
            <w:pPr>
              <w:pStyle w:val="Normal"/>
              <w:tabs>
                <w:tab w:val="clear" w:pos="708"/>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Ativo Total</w:t>
            </w:r>
          </w:p>
        </w:tc>
      </w:tr>
      <w:tr>
        <w:trPr>
          <w:cantSplit w:val="true"/>
        </w:trPr>
        <w:tc>
          <w:tcPr>
            <w:tcW w:w="2234" w:type="dxa"/>
            <w:vMerge w:val="continue"/>
            <w:tcBorders>
              <w:top w:val="nil"/>
              <w:left w:val="nil"/>
              <w:bottom w:val="nil"/>
              <w:right w:val="nil"/>
              <w:insideH w:val="nil"/>
              <w:insideV w:val="nil"/>
            </w:tcBorders>
            <w:shd w:fill="auto" w:val="clear"/>
          </w:tcPr>
          <w:p>
            <w:pPr>
              <w:pStyle w:val="Normal"/>
              <w:tabs>
                <w:tab w:val="clear" w:pos="708"/>
                <w:tab w:val="left" w:pos="1440" w:leader="none"/>
              </w:tabs>
              <w:snapToGrid w:val="false"/>
              <w:spacing w:lineRule="auto" w:line="276" w:before="0" w:after="0"/>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4394" w:type="dxa"/>
            <w:tcBorders>
              <w:top w:val="nil"/>
              <w:left w:val="nil"/>
              <w:bottom w:val="nil"/>
              <w:right w:val="nil"/>
              <w:insideH w:val="nil"/>
              <w:insideV w:val="nil"/>
            </w:tcBorders>
            <w:shd w:fill="auto" w:val="clear"/>
          </w:tcPr>
          <w:p>
            <w:pPr>
              <w:pStyle w:val="Normal"/>
              <w:tabs>
                <w:tab w:val="clear" w:pos="708"/>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Passivo Circulante + Passivo Não Circulante</w:t>
            </w:r>
          </w:p>
        </w:tc>
      </w:tr>
    </w:tbl>
    <w:p>
      <w:pPr>
        <w:pStyle w:val="Normal"/>
        <w:tabs>
          <w:tab w:val="clear" w:pos="708"/>
          <w:tab w:val="left" w:pos="1440" w:leader="none"/>
        </w:tabs>
        <w:snapToGrid w:val="false"/>
        <w:spacing w:lineRule="auto" w:line="276"/>
        <w:ind w:left="1134" w:hanging="0"/>
        <w:jc w:val="both"/>
        <w:rPr>
          <w:rFonts w:cs="Arial"/>
          <w:color w:val="000000"/>
          <w:szCs w:val="20"/>
        </w:rPr>
      </w:pPr>
      <w:r>
        <w:rPr>
          <w:rFonts w:cs="Arial"/>
          <w:color w:val="000000"/>
          <w:szCs w:val="20"/>
        </w:rPr>
      </w:r>
    </w:p>
    <w:tbl>
      <w:tblPr>
        <w:tblStyle w:val="Tabelacomgrade"/>
        <w:tblW w:w="4786" w:type="dxa"/>
        <w:jc w:val="left"/>
        <w:tblInd w:w="1134" w:type="dxa"/>
        <w:tblCellMar>
          <w:top w:w="0" w:type="dxa"/>
          <w:left w:w="123" w:type="dxa"/>
          <w:bottom w:w="0" w:type="dxa"/>
          <w:right w:w="108" w:type="dxa"/>
        </w:tblCellMar>
        <w:tblLook w:val="04a0" w:noVBand="1" w:noHBand="0" w:lastColumn="0" w:firstColumn="1" w:lastRow="0" w:firstRow="1"/>
      </w:tblPr>
      <w:tblGrid>
        <w:gridCol w:w="2235"/>
        <w:gridCol w:w="2550"/>
      </w:tblGrid>
      <w:tr>
        <w:trPr/>
        <w:tc>
          <w:tcPr>
            <w:tcW w:w="2235" w:type="dxa"/>
            <w:vMerge w:val="restart"/>
            <w:tcBorders>
              <w:top w:val="nil"/>
              <w:left w:val="nil"/>
              <w:bottom w:val="nil"/>
              <w:right w:val="nil"/>
              <w:insideH w:val="nil"/>
              <w:insideV w:val="nil"/>
            </w:tcBorders>
            <w:shd w:fill="auto" w:val="clear"/>
            <w:vAlign w:val="center"/>
          </w:tcPr>
          <w:p>
            <w:pPr>
              <w:pStyle w:val="Normal"/>
              <w:tabs>
                <w:tab w:val="clear" w:pos="708"/>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LC =</w:t>
            </w:r>
          </w:p>
        </w:tc>
        <w:tc>
          <w:tcPr>
            <w:tcW w:w="2550" w:type="dxa"/>
            <w:tcBorders>
              <w:top w:val="nil"/>
              <w:left w:val="nil"/>
              <w:right w:val="nil"/>
              <w:insideV w:val="nil"/>
            </w:tcBorders>
            <w:shd w:fill="auto" w:val="clear"/>
            <w:vAlign w:val="bottom"/>
          </w:tcPr>
          <w:p>
            <w:pPr>
              <w:pStyle w:val="Normal"/>
              <w:tabs>
                <w:tab w:val="clear" w:pos="708"/>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Ativo Circulante</w:t>
            </w:r>
          </w:p>
        </w:tc>
      </w:tr>
      <w:tr>
        <w:trPr/>
        <w:tc>
          <w:tcPr>
            <w:tcW w:w="2235" w:type="dxa"/>
            <w:vMerge w:val="continue"/>
            <w:tcBorders>
              <w:top w:val="nil"/>
              <w:left w:val="nil"/>
              <w:bottom w:val="nil"/>
              <w:right w:val="nil"/>
              <w:insideH w:val="nil"/>
              <w:insideV w:val="nil"/>
            </w:tcBorders>
            <w:shd w:fill="auto" w:val="clear"/>
          </w:tcPr>
          <w:p>
            <w:pPr>
              <w:pStyle w:val="Normal"/>
              <w:tabs>
                <w:tab w:val="clear" w:pos="708"/>
                <w:tab w:val="left" w:pos="1440" w:leader="none"/>
              </w:tabs>
              <w:snapToGrid w:val="false"/>
              <w:spacing w:lineRule="auto" w:line="276" w:before="0" w:after="0"/>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2550" w:type="dxa"/>
            <w:tcBorders>
              <w:top w:val="nil"/>
              <w:left w:val="nil"/>
              <w:bottom w:val="nil"/>
              <w:right w:val="nil"/>
              <w:insideH w:val="nil"/>
              <w:insideV w:val="nil"/>
            </w:tcBorders>
            <w:shd w:fill="auto" w:val="clear"/>
          </w:tcPr>
          <w:p>
            <w:pPr>
              <w:pStyle w:val="Normal"/>
              <w:tabs>
                <w:tab w:val="clear" w:pos="708"/>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Passivo Circulante</w:t>
            </w:r>
          </w:p>
        </w:tc>
      </w:tr>
    </w:tbl>
    <w:p>
      <w:pPr>
        <w:pStyle w:val="Normal"/>
        <w:rPr>
          <w:rFonts w:cs="Arial"/>
          <w:lang w:eastAsia="en-US"/>
        </w:rPr>
      </w:pPr>
      <w:r>
        <w:rPr>
          <w:rFonts w:cs="Arial"/>
          <w:lang w:eastAsia="en-US"/>
        </w:rPr>
      </w:r>
    </w:p>
    <w:p>
      <w:pPr>
        <w:pStyle w:val="PADRO"/>
        <w:keepNext w:val="false"/>
        <w:widowControl/>
        <w:numPr>
          <w:ilvl w:val="0"/>
          <w:numId w:val="3"/>
        </w:numPr>
        <w:shd w:val="clear" w:fill="FFFFFF"/>
        <w:spacing w:before="120" w:after="120"/>
        <w:rPr>
          <w:rFonts w:ascii="Arial" w:hAnsi="Arial" w:cs="Arial"/>
          <w:b/>
          <w:b/>
        </w:rPr>
      </w:pPr>
      <w:r>
        <w:rPr>
          <w:rFonts w:cs="Arial" w:ascii="Arial" w:hAnsi="Arial"/>
          <w:b/>
          <w:color w:val="000000"/>
          <w:szCs w:val="20"/>
        </w:rPr>
        <w:t>Qualificação</w:t>
      </w:r>
      <w:r>
        <w:rPr>
          <w:rFonts w:cs="Arial" w:ascii="Arial" w:hAnsi="Arial"/>
          <w:b/>
        </w:rPr>
        <w:t xml:space="preserve"> Técnica</w:t>
      </w:r>
    </w:p>
    <w:p>
      <w:pPr>
        <w:pStyle w:val="PADRO"/>
        <w:keepNext w:val="false"/>
        <w:widowControl/>
        <w:numPr>
          <w:ilvl w:val="1"/>
          <w:numId w:val="3"/>
        </w:numPr>
        <w:shd w:val="clear" w:fill="FFFFFF"/>
        <w:spacing w:before="120" w:after="120"/>
        <w:rPr>
          <w:rFonts w:ascii="Arial" w:hAnsi="Arial" w:cs="Arial"/>
          <w:bCs/>
          <w:color w:val="000000"/>
          <w:szCs w:val="20"/>
        </w:rPr>
      </w:pPr>
      <w:bookmarkStart w:id="4" w:name="_Hlk519176340"/>
      <w:bookmarkEnd w:id="4"/>
      <w:r>
        <w:rPr>
          <w:rFonts w:cs="Arial" w:ascii="Arial" w:hAnsi="Arial"/>
          <w:color w:val="000000"/>
          <w:szCs w:val="20"/>
        </w:rPr>
        <w:t xml:space="preserve">Comprovação de aptidão para a prestação dos serviços em características, quantidades e prazos </w:t>
      </w:r>
      <w:r>
        <w:rPr>
          <w:rFonts w:cs="Arial" w:ascii="Arial" w:hAnsi="Arial"/>
          <w:szCs w:val="20"/>
        </w:rPr>
        <w:t>compatíveis</w:t>
      </w:r>
      <w:r>
        <w:rPr>
          <w:rFonts w:cs="Arial" w:ascii="Arial" w:hAnsi="Arial"/>
          <w:color w:val="000000"/>
          <w:szCs w:val="20"/>
        </w:rPr>
        <w:t xml:space="preserve"> com o objeto desta dispensa, ou com o item pertinente, mediante a apresentação de atestado(s) fornecido(s) por pessoas jurídicas de direito público ou privado. </w:t>
      </w:r>
    </w:p>
    <w:p>
      <w:pPr>
        <w:pStyle w:val="PADRO"/>
        <w:keepNext w:val="false"/>
        <w:widowControl/>
        <w:numPr>
          <w:ilvl w:val="2"/>
          <w:numId w:val="3"/>
        </w:numPr>
        <w:shd w:val="clear" w:fill="FFFFFF"/>
        <w:spacing w:before="120" w:after="120"/>
        <w:rPr>
          <w:rFonts w:ascii="Arial" w:hAnsi="Arial" w:cs="Arial"/>
          <w:bCs/>
          <w:color w:val="000000"/>
          <w:szCs w:val="20"/>
        </w:rPr>
      </w:pPr>
      <w:r>
        <w:rPr>
          <w:rFonts w:cs="Arial" w:ascii="Arial" w:hAnsi="Arial"/>
          <w:color w:val="000000"/>
          <w:szCs w:val="20"/>
        </w:rPr>
        <w:t>Para fins da comprovação de que trata este subitem, os atestados deverão dizer respeito a contratos executados com as seguintes características mínimas:</w:t>
      </w:r>
    </w:p>
    <w:p>
      <w:pPr>
        <w:pStyle w:val="Normal"/>
        <w:numPr>
          <w:ilvl w:val="4"/>
          <w:numId w:val="3"/>
        </w:numPr>
        <w:tabs>
          <w:tab w:val="clear" w:pos="708"/>
          <w:tab w:val="left" w:pos="1440" w:leader="none"/>
        </w:tabs>
        <w:snapToGrid w:val="false"/>
        <w:spacing w:lineRule="auto" w:line="276" w:before="120" w:after="120"/>
        <w:jc w:val="both"/>
        <w:rPr>
          <w:rFonts w:cs="Arial"/>
          <w:szCs w:val="20"/>
          <w:u w:val="single"/>
        </w:rPr>
      </w:pPr>
      <w:r>
        <w:rPr>
          <w:rFonts w:cs="Arial"/>
          <w:szCs w:val="20"/>
          <w:u w:val="single"/>
        </w:rPr>
        <w:t>os atestados devem se referir a contratos já concluídos ou, se em execução, expressando somente os quantitativos efetivamente fornecidos até o momento de sua expedição;</w:t>
      </w:r>
    </w:p>
    <w:p>
      <w:pPr>
        <w:pStyle w:val="Normal"/>
        <w:numPr>
          <w:ilvl w:val="4"/>
          <w:numId w:val="3"/>
        </w:numPr>
        <w:tabs>
          <w:tab w:val="clear" w:pos="708"/>
          <w:tab w:val="left" w:pos="1440" w:leader="none"/>
        </w:tabs>
        <w:snapToGrid w:val="false"/>
        <w:spacing w:lineRule="auto" w:line="276" w:before="120" w:after="120"/>
        <w:jc w:val="both"/>
        <w:rPr>
          <w:rFonts w:cs="Arial"/>
          <w:szCs w:val="20"/>
          <w:u w:val="single"/>
        </w:rPr>
      </w:pPr>
      <w:r>
        <w:rPr>
          <w:rFonts w:cs="Arial"/>
          <w:szCs w:val="20"/>
          <w:u w:val="single"/>
        </w:rPr>
        <w:t>poderão ser apresentados quantos atestados forem necessários para comprovar o quantitativo mínimo;</w:t>
      </w:r>
    </w:p>
    <w:p>
      <w:pPr>
        <w:pStyle w:val="Normal"/>
        <w:numPr>
          <w:ilvl w:val="4"/>
          <w:numId w:val="3"/>
        </w:numPr>
        <w:tabs>
          <w:tab w:val="clear" w:pos="708"/>
          <w:tab w:val="left" w:pos="1440" w:leader="none"/>
        </w:tabs>
        <w:snapToGrid w:val="false"/>
        <w:spacing w:lineRule="auto" w:line="276" w:before="120" w:after="120"/>
        <w:jc w:val="both"/>
        <w:rPr>
          <w:rFonts w:cs="Arial"/>
          <w:szCs w:val="20"/>
          <w:u w:val="single"/>
        </w:rPr>
      </w:pPr>
      <w:r>
        <w:rPr>
          <w:rFonts w:cs="Arial"/>
          <w:szCs w:val="20"/>
          <w:u w:val="single"/>
        </w:rPr>
        <w:t>os itens dos atestados apresentados deverão ser semelhantes com os materiais arrematados pelo licitante vencedor;</w:t>
      </w:r>
    </w:p>
    <w:p>
      <w:pPr>
        <w:pStyle w:val="Normal"/>
        <w:numPr>
          <w:ilvl w:val="4"/>
          <w:numId w:val="3"/>
        </w:numPr>
        <w:tabs>
          <w:tab w:val="clear" w:pos="708"/>
          <w:tab w:val="left" w:pos="1440" w:leader="none"/>
        </w:tabs>
        <w:snapToGrid w:val="false"/>
        <w:spacing w:lineRule="auto" w:line="276" w:before="120" w:after="120"/>
        <w:jc w:val="both"/>
        <w:rPr>
          <w:rFonts w:cs="Arial"/>
          <w:szCs w:val="20"/>
          <w:u w:val="single"/>
        </w:rPr>
      </w:pPr>
      <w:r>
        <w:rPr>
          <w:rFonts w:cs="Arial"/>
          <w:szCs w:val="20"/>
          <w:u w:val="single"/>
        </w:rPr>
        <w:t>informações legíveis do nome e endereço do Órgão/Entidade que emitiu o comprovante;</w:t>
      </w:r>
    </w:p>
    <w:p>
      <w:pPr>
        <w:pStyle w:val="Normal"/>
        <w:numPr>
          <w:ilvl w:val="4"/>
          <w:numId w:val="3"/>
        </w:numPr>
        <w:tabs>
          <w:tab w:val="clear" w:pos="708"/>
          <w:tab w:val="left" w:pos="1440" w:leader="none"/>
        </w:tabs>
        <w:snapToGrid w:val="false"/>
        <w:spacing w:lineRule="auto" w:line="276" w:before="120" w:after="120"/>
        <w:jc w:val="both"/>
        <w:rPr>
          <w:rFonts w:cs="Arial"/>
          <w:szCs w:val="20"/>
          <w:u w:val="single"/>
        </w:rPr>
      </w:pPr>
      <w:r>
        <w:rPr>
          <w:rFonts w:cs="Arial"/>
          <w:szCs w:val="20"/>
          <w:u w:val="single"/>
        </w:rPr>
        <w:t xml:space="preserve">nome e matrícula/identidade do Responsável pela expedição e assinatura; </w:t>
      </w:r>
    </w:p>
    <w:p>
      <w:pPr>
        <w:pStyle w:val="Normal"/>
        <w:numPr>
          <w:ilvl w:val="4"/>
          <w:numId w:val="3"/>
        </w:numPr>
        <w:tabs>
          <w:tab w:val="clear" w:pos="708"/>
          <w:tab w:val="left" w:pos="1440" w:leader="none"/>
        </w:tabs>
        <w:snapToGrid w:val="false"/>
        <w:spacing w:lineRule="auto" w:line="276" w:before="120" w:after="120"/>
        <w:jc w:val="both"/>
        <w:rPr>
          <w:rFonts w:cs="Arial"/>
          <w:szCs w:val="20"/>
          <w:u w:val="single"/>
        </w:rPr>
      </w:pPr>
      <w:r>
        <w:rPr>
          <w:rFonts w:cs="Arial"/>
          <w:szCs w:val="20"/>
          <w:u w:val="single"/>
        </w:rPr>
        <w:t>telefone de contato do Órgão/Entidade;</w:t>
      </w:r>
    </w:p>
    <w:p>
      <w:pPr>
        <w:pStyle w:val="Normal"/>
        <w:numPr>
          <w:ilvl w:val="4"/>
          <w:numId w:val="3"/>
        </w:numPr>
        <w:tabs>
          <w:tab w:val="clear" w:pos="708"/>
          <w:tab w:val="left" w:pos="1440" w:leader="none"/>
        </w:tabs>
        <w:snapToGrid w:val="false"/>
        <w:spacing w:lineRule="auto" w:line="276" w:before="120" w:after="120"/>
        <w:jc w:val="both"/>
        <w:rPr>
          <w:rFonts w:cs="Arial"/>
          <w:szCs w:val="20"/>
          <w:u w:val="single"/>
        </w:rPr>
      </w:pPr>
      <w:r>
        <w:rPr>
          <w:rFonts w:cs="Arial"/>
          <w:szCs w:val="20"/>
          <w:u w:val="single"/>
        </w:rPr>
        <w:t>a descrição dos bens e o período em que foram fornecidos.</w:t>
      </w:r>
    </w:p>
    <w:p>
      <w:pPr>
        <w:pStyle w:val="PADRO"/>
        <w:keepNext w:val="false"/>
        <w:widowControl/>
        <w:numPr>
          <w:ilvl w:val="3"/>
          <w:numId w:val="3"/>
        </w:numPr>
        <w:shd w:val="clear" w:fill="FFFFFF"/>
        <w:spacing w:before="120" w:after="120"/>
        <w:rPr>
          <w:rFonts w:ascii="Arial" w:hAnsi="Arial" w:cs="Arial"/>
          <w:color w:val="000000"/>
          <w:szCs w:val="20"/>
        </w:rPr>
      </w:pPr>
      <w:bookmarkStart w:id="5" w:name="_Hlk5191763401"/>
      <w:bookmarkEnd w:id="5"/>
      <w:r>
        <w:rPr>
          <w:rFonts w:cs="Arial" w:ascii="Arial" w:hAnsi="Arial"/>
          <w:color w:val="000000"/>
          <w:szCs w:val="20"/>
        </w:rPr>
        <w:t xml:space="preserve">Os atestados deverão referir-se a serviços prestados no âmbito de sua atividade econômica principal ou secundária especificadas no contrato social vigente; </w:t>
      </w:r>
      <w:bookmarkStart w:id="6" w:name="_Hlk519177818"/>
      <w:bookmarkEnd w:id="6"/>
    </w:p>
    <w:p>
      <w:pPr>
        <w:pStyle w:val="PADRO"/>
        <w:keepNext w:val="false"/>
        <w:widowControl/>
        <w:numPr>
          <w:ilvl w:val="3"/>
          <w:numId w:val="3"/>
        </w:numPr>
        <w:shd w:val="clear" w:fill="FFFFFF"/>
        <w:spacing w:before="120" w:after="120"/>
        <w:rPr>
          <w:rFonts w:ascii="Arial" w:hAnsi="Arial" w:cs="Arial"/>
          <w:iCs/>
          <w:szCs w:val="20"/>
        </w:rPr>
      </w:pPr>
      <w:r>
        <w:rPr>
          <w:rFonts w:cs="Arial" w:ascii="Arial" w:hAnsi="Arial"/>
          <w:iCs/>
          <w:szCs w:val="20"/>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bookmarkStart w:id="7" w:name="_Hlk519177062"/>
      <w:bookmarkEnd w:id="7"/>
    </w:p>
    <w:p>
      <w:pPr>
        <w:pStyle w:val="PADRO"/>
        <w:keepNext w:val="false"/>
        <w:widowControl/>
        <w:numPr>
          <w:ilvl w:val="3"/>
          <w:numId w:val="3"/>
        </w:numPr>
        <w:shd w:val="clear" w:fill="FFFFFF"/>
        <w:spacing w:before="120" w:after="120"/>
        <w:rPr>
          <w:rFonts w:ascii="Arial" w:hAnsi="Arial" w:cs="Arial"/>
          <w:color w:val="000000"/>
          <w:szCs w:val="20"/>
        </w:rPr>
      </w:pPr>
      <w:r>
        <w:rPr>
          <w:rFonts w:cs="Arial" w:ascii="Arial" w:hAnsi="Arial"/>
          <w:color w:val="000000"/>
          <w:szCs w:val="20"/>
        </w:rPr>
        <w:t>O fornecedor disponibilizará todas as informações necessárias à comprovação da legitimidade dos atestados, apresentando, dentre outros documentos, cópia do contrato que deu suporte à contratação, endereço atual da contratante e local em que foram prestados os serviços.</w:t>
      </w:r>
    </w:p>
    <w:p>
      <w:pPr>
        <w:pStyle w:val="PADRO"/>
        <w:keepNext w:val="false"/>
        <w:widowControl/>
        <w:numPr>
          <w:ilvl w:val="1"/>
          <w:numId w:val="3"/>
        </w:numPr>
        <w:shd w:val="clear" w:fill="FFFFFF"/>
        <w:spacing w:before="120" w:after="120"/>
        <w:rPr>
          <w:rFonts w:ascii="Arial" w:hAnsi="Arial" w:cs="Arial"/>
          <w:iCs/>
          <w:szCs w:val="20"/>
        </w:rPr>
      </w:pPr>
      <w:r>
        <w:rPr>
          <w:rFonts w:cs="Arial" w:ascii="Arial" w:hAnsi="Arial"/>
          <w:iCs/>
          <w:szCs w:val="20"/>
        </w:rPr>
        <w:t>Em relação às fornecedoras cooperativas será, ainda, exigida a seguinte documentação complementar:</w:t>
      </w:r>
    </w:p>
    <w:p>
      <w:pPr>
        <w:pStyle w:val="PADRO"/>
        <w:keepNext w:val="false"/>
        <w:widowControl/>
        <w:numPr>
          <w:ilvl w:val="2"/>
          <w:numId w:val="3"/>
        </w:numPr>
        <w:shd w:val="clear" w:fill="FFFFFF"/>
        <w:spacing w:before="120" w:after="120"/>
        <w:rPr>
          <w:rFonts w:ascii="Arial" w:hAnsi="Arial" w:cs="Arial"/>
          <w:iCs/>
          <w:szCs w:val="20"/>
        </w:rPr>
      </w:pPr>
      <w:r>
        <w:rPr>
          <w:rFonts w:cs="Arial" w:ascii="Arial" w:hAnsi="Arial"/>
          <w:iCs/>
          <w:szCs w:val="2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pPr>
        <w:pStyle w:val="PADRO"/>
        <w:keepNext w:val="false"/>
        <w:widowControl/>
        <w:numPr>
          <w:ilvl w:val="2"/>
          <w:numId w:val="3"/>
        </w:numPr>
        <w:shd w:val="clear" w:fill="FFFFFF"/>
        <w:spacing w:before="120" w:after="120"/>
        <w:rPr>
          <w:rFonts w:ascii="Arial" w:hAnsi="Arial" w:cs="Arial"/>
          <w:iCs/>
          <w:szCs w:val="20"/>
        </w:rPr>
      </w:pPr>
      <w:r>
        <w:rPr>
          <w:rFonts w:cs="Arial" w:ascii="Arial" w:hAnsi="Arial"/>
          <w:iCs/>
          <w:szCs w:val="20"/>
        </w:rPr>
        <w:t>A declaração de regularidade de situação do contribuinte individual – DRSCI, para cada um dos cooperados indicados;</w:t>
      </w:r>
    </w:p>
    <w:p>
      <w:pPr>
        <w:pStyle w:val="PADRO"/>
        <w:keepNext w:val="false"/>
        <w:widowControl/>
        <w:numPr>
          <w:ilvl w:val="2"/>
          <w:numId w:val="3"/>
        </w:numPr>
        <w:shd w:val="clear" w:fill="FFFFFF"/>
        <w:spacing w:before="120" w:after="120"/>
        <w:rPr>
          <w:rFonts w:ascii="Arial" w:hAnsi="Arial" w:cs="Arial"/>
          <w:iCs/>
          <w:szCs w:val="20"/>
        </w:rPr>
      </w:pPr>
      <w:r>
        <w:rPr>
          <w:rFonts w:cs="Arial" w:ascii="Arial" w:hAnsi="Arial"/>
          <w:iCs/>
          <w:szCs w:val="20"/>
        </w:rPr>
        <w:t xml:space="preserve">A comprovação do capital social proporcional ao número de cooperados necessários à prestação do serviço; </w:t>
      </w:r>
    </w:p>
    <w:p>
      <w:pPr>
        <w:pStyle w:val="PADRO"/>
        <w:keepNext w:val="false"/>
        <w:widowControl/>
        <w:numPr>
          <w:ilvl w:val="2"/>
          <w:numId w:val="3"/>
        </w:numPr>
        <w:shd w:val="clear" w:fill="FFFFFF"/>
        <w:spacing w:before="120" w:after="120"/>
        <w:rPr>
          <w:rFonts w:ascii="Arial" w:hAnsi="Arial" w:cs="Arial"/>
          <w:iCs/>
          <w:szCs w:val="20"/>
        </w:rPr>
      </w:pPr>
      <w:r>
        <w:rPr>
          <w:rFonts w:cs="Arial" w:ascii="Arial" w:hAnsi="Arial"/>
          <w:iCs/>
          <w:szCs w:val="20"/>
        </w:rPr>
        <w:t>O registro previsto na Lei n. 5.764/71, art. 107;</w:t>
      </w:r>
    </w:p>
    <w:p>
      <w:pPr>
        <w:pStyle w:val="PADRO"/>
        <w:keepNext w:val="false"/>
        <w:widowControl/>
        <w:numPr>
          <w:ilvl w:val="2"/>
          <w:numId w:val="3"/>
        </w:numPr>
        <w:shd w:val="clear" w:fill="FFFFFF"/>
        <w:spacing w:before="120" w:after="120"/>
        <w:rPr>
          <w:rFonts w:ascii="Arial" w:hAnsi="Arial" w:cs="Arial"/>
          <w:iCs/>
          <w:szCs w:val="20"/>
        </w:rPr>
      </w:pPr>
      <w:r>
        <w:rPr>
          <w:rFonts w:cs="Arial" w:ascii="Arial" w:hAnsi="Arial"/>
          <w:iCs/>
          <w:szCs w:val="20"/>
        </w:rPr>
        <w:t xml:space="preserve"> </w:t>
      </w:r>
      <w:r>
        <w:rPr>
          <w:rFonts w:cs="Arial" w:ascii="Arial" w:hAnsi="Arial"/>
          <w:iCs/>
          <w:szCs w:val="20"/>
        </w:rPr>
        <w:t>A comprovação de integração das respectivas quotas-partes por parte dos cooperados que executarão o contrato; e</w:t>
      </w:r>
    </w:p>
    <w:p>
      <w:pPr>
        <w:pStyle w:val="PADRO"/>
        <w:keepNext w:val="false"/>
        <w:widowControl/>
        <w:numPr>
          <w:ilvl w:val="2"/>
          <w:numId w:val="3"/>
        </w:numPr>
        <w:shd w:val="clear" w:fill="FFFFFF"/>
        <w:spacing w:before="120" w:after="120"/>
        <w:rPr>
          <w:rFonts w:ascii="Arial" w:hAnsi="Arial" w:cs="Arial"/>
          <w:iCs/>
          <w:szCs w:val="20"/>
        </w:rPr>
      </w:pPr>
      <w:r>
        <w:rPr>
          <w:rFonts w:cs="Arial" w:ascii="Arial" w:hAnsi="Arial"/>
          <w:iCs/>
          <w:szCs w:val="20"/>
        </w:rPr>
        <w:t xml:space="preserve"> </w:t>
      </w:r>
      <w:r>
        <w:rPr>
          <w:rFonts w:cs="Arial" w:ascii="Arial" w:hAnsi="Arial"/>
          <w:iCs/>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dispensa;</w:t>
      </w:r>
    </w:p>
    <w:p>
      <w:pPr>
        <w:pStyle w:val="PADRO"/>
        <w:keepNext w:val="false"/>
        <w:widowControl/>
        <w:numPr>
          <w:ilvl w:val="2"/>
          <w:numId w:val="3"/>
        </w:numPr>
        <w:shd w:val="clear" w:fill="FFFFFF"/>
        <w:spacing w:before="120" w:after="120"/>
        <w:rPr/>
      </w:pPr>
      <w:r>
        <w:rPr>
          <w:rFonts w:cs="Arial" w:ascii="Arial" w:hAnsi="Arial"/>
          <w:iCs/>
          <w:szCs w:val="20"/>
        </w:rPr>
        <w:t>A última auditoria contábil-financeira da cooperativa, conforme dispõe o art. 112 da Lei n. 5.764/71 ou uma declaração, sob as penas da lei, de que tal auditoria não foi exigida pelo órgão fiscalizador.</w:t>
      </w:r>
    </w:p>
    <w:sectPr>
      <w:footerReference w:type="default" r:id="rId6"/>
      <w:type w:val="nextPage"/>
      <w:pgSz w:w="11906" w:h="16838"/>
      <w:pgMar w:left="1701" w:right="1701" w:header="0" w:top="1417" w:footer="708"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Cambria">
    <w:charset w:val="01"/>
    <w:family w:val="roman"/>
    <w:pitch w:val="variable"/>
  </w:font>
  <w:font w:name="Times">
    <w:altName w:val="Times New Roman"/>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pPr>
    <w:r>
      <w:rPr>
        <w:sz w:val="12"/>
        <w:szCs w:val="12"/>
      </w:rPr>
      <w:t>Versão: outubro/2021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Fonts w:ascii="Arial" w:hAnsi="Arial"/>
      </w:rPr>
    </w:lvl>
    <w:lvl w:ilvl="1">
      <w:start w:val="1"/>
      <w:numFmt w:val="decimal"/>
      <w:lvlText w:val="%1.%2."/>
      <w:lvlJc w:val="left"/>
      <w:pPr>
        <w:ind w:left="792" w:hanging="432"/>
      </w:pPr>
      <w:rPr>
        <w:i w:val="false"/>
        <w:b/>
        <w:iCs/>
        <w:rFonts w:ascii="Arial" w:hAnsi="Arial"/>
      </w:rPr>
    </w:lvl>
    <w:lvl w:ilvl="2">
      <w:start w:val="1"/>
      <w:numFmt w:val="decimal"/>
      <w:lvlText w:val="%1.%2.%3."/>
      <w:lvlJc w:val="left"/>
      <w:pPr>
        <w:ind w:left="1224" w:hanging="504"/>
      </w:pPr>
      <w:rPr>
        <w:i w:val="false"/>
        <w:b/>
        <w:iCs/>
        <w:rFonts w:ascii="Arial" w:hAnsi="Arial" w:cs="Arial"/>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lvl w:ilvl="0">
      <w:start w:val="1"/>
      <w:numFmt w:val="decimal"/>
      <w:lvlText w:val="%1"/>
      <w:lvlJc w:val="left"/>
      <w:pPr>
        <w:ind w:left="360" w:hanging="360"/>
      </w:pPr>
    </w:lvl>
    <w:lvl w:ilvl="1">
      <w:start w:val="1"/>
      <w:numFmt w:val="decimal"/>
      <w:lvlText w:val="%1.%2"/>
      <w:lvlJc w:val="left"/>
      <w:pPr>
        <w:ind w:left="927" w:hanging="360"/>
      </w:pPr>
      <w:rPr>
        <w:b/>
        <w:rFonts w:ascii="Arial" w:hAnsi="Arial"/>
      </w:rPr>
    </w:lvl>
    <w:lvl w:ilvl="2">
      <w:start w:val="1"/>
      <w:numFmt w:val="decimal"/>
      <w:lvlText w:val="%1.%2.%3"/>
      <w:lvlJc w:val="left"/>
      <w:pPr>
        <w:ind w:left="1854" w:hanging="720"/>
      </w:pPr>
      <w:rPr>
        <w:b/>
        <w:rFonts w:ascii="Arial" w:hAnsi="Arial"/>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decimal"/>
      <w:lvlText w:val="%1.%2.%3."/>
      <w:lvlJc w:val="left"/>
      <w:pPr>
        <w:ind w:left="1224" w:hanging="504"/>
      </w:pPr>
      <w:rPr>
        <w:i w:val="false"/>
        <w:b w:val="false"/>
        <w:iCs/>
        <w:rFonts w:cs="Arial"/>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lowerLetter"/>
      <w:lvlText w:val="%3)"/>
      <w:lvlJc w:val="left"/>
      <w:pPr>
        <w:ind w:left="1224" w:hanging="504"/>
      </w:pPr>
      <w:rPr>
        <w:i w:val="false"/>
        <w:b w:val="false"/>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7">
    <w:lvl w:ilvl="0">
      <w:start w:val="9"/>
      <w:numFmt w:val="decimal"/>
      <w:lvlText w:val="%1"/>
      <w:lvlJc w:val="left"/>
      <w:pPr>
        <w:ind w:left="540" w:hanging="540"/>
      </w:pPr>
    </w:lvl>
    <w:lvl w:ilvl="1">
      <w:start w:val="13"/>
      <w:numFmt w:val="decimal"/>
      <w:lvlText w:val="%1.%2"/>
      <w:lvlJc w:val="left"/>
      <w:pPr>
        <w:ind w:left="1080" w:hanging="540"/>
      </w:pPr>
    </w:lvl>
    <w:lvl w:ilvl="2">
      <w:start w:val="3"/>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8">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2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d0e1a"/>
    <w:pPr>
      <w:widowControl/>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Citao"/>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link w:val="Ttulo1"/>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link w:val="citao2"/>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Textodecomentrio"/>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ssuntodocomentrio"/>
    <w:uiPriority w:val="99"/>
    <w:semiHidden/>
    <w:qFormat/>
    <w:rsid w:val="003d08af"/>
    <w:rPr>
      <w:rFonts w:ascii="Arial" w:hAnsi="Arial" w:eastAsia="Times New Roman" w:cs="Tahoma"/>
      <w:b/>
      <w:bCs/>
      <w:sz w:val="20"/>
      <w:szCs w:val="20"/>
      <w:lang w:eastAsia="pt-BR"/>
    </w:rPr>
  </w:style>
  <w:style w:type="character" w:styleId="LinkdaInternet">
    <w:name w:val="Link da Internet"/>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Textodebalo"/>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link w:val="Cabealho"/>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link w:val="Rodap"/>
    <w:uiPriority w:val="99"/>
    <w:qFormat/>
    <w:rsid w:val="00805244"/>
    <w:rPr>
      <w:rFonts w:ascii="Arial" w:hAnsi="Arial" w:eastAsia="Times New Roman" w:cs="Tahoma"/>
      <w:sz w:val="20"/>
      <w:szCs w:val="24"/>
      <w:lang w:eastAsia="pt-BR"/>
    </w:rPr>
  </w:style>
  <w:style w:type="character" w:styleId="ListLabel1">
    <w:name w:val="ListLabel 1"/>
    <w:qFormat/>
    <w:rPr>
      <w:rFonts w:ascii="Arial" w:hAnsi="Arial"/>
      <w:b/>
    </w:rPr>
  </w:style>
  <w:style w:type="character" w:styleId="ListLabel2">
    <w:name w:val="ListLabel 2"/>
    <w:qFormat/>
    <w:rPr>
      <w:rFonts w:ascii="Arial" w:hAnsi="Arial"/>
      <w:b/>
      <w:i w:val="false"/>
      <w:iCs/>
    </w:rPr>
  </w:style>
  <w:style w:type="character" w:styleId="ListLabel3">
    <w:name w:val="ListLabel 3"/>
    <w:qFormat/>
    <w:rPr>
      <w:rFonts w:ascii="Arial" w:hAnsi="Arial" w:cs="Arial"/>
      <w:b/>
      <w:i w:val="false"/>
      <w:iCs/>
      <w:color w:val="auto"/>
    </w:rPr>
  </w:style>
  <w:style w:type="character" w:styleId="ListLabel4">
    <w:name w:val="ListLabel 4"/>
    <w:qFormat/>
    <w:rPr>
      <w:rFonts w:cs="Arial"/>
    </w:rPr>
  </w:style>
  <w:style w:type="character" w:styleId="ListLabel5">
    <w:name w:val="ListLabel 5"/>
    <w:qFormat/>
    <w:rPr>
      <w:color w:val="auto"/>
    </w:rPr>
  </w:style>
  <w:style w:type="character" w:styleId="ListLabel6">
    <w:name w:val="ListLabel 6"/>
    <w:qFormat/>
    <w:rPr>
      <w:color w:val="auto"/>
    </w:rPr>
  </w:style>
  <w:style w:type="character" w:styleId="ListLabel7">
    <w:name w:val="ListLabel 7"/>
    <w:qFormat/>
    <w:rPr>
      <w:color w:val="auto"/>
    </w:rPr>
  </w:style>
  <w:style w:type="character" w:styleId="ListLabel8">
    <w:name w:val="ListLabel 8"/>
    <w:qFormat/>
    <w:rPr>
      <w:color w:val="auto"/>
    </w:rPr>
  </w:style>
  <w:style w:type="character" w:styleId="ListLabel9">
    <w:name w:val="ListLabel 9"/>
    <w:qFormat/>
    <w:rPr>
      <w:color w:val="auto"/>
    </w:rPr>
  </w:style>
  <w:style w:type="character" w:styleId="ListLabel10">
    <w:name w:val="ListLabel 10"/>
    <w:qFormat/>
    <w:rPr>
      <w:color w:val="auto"/>
    </w:rPr>
  </w:style>
  <w:style w:type="character" w:styleId="ListLabel11">
    <w:name w:val="ListLabel 11"/>
    <w:qFormat/>
    <w:rPr>
      <w:color w:val="auto"/>
    </w:rPr>
  </w:style>
  <w:style w:type="character" w:styleId="ListLabel12">
    <w:name w:val="ListLabel 12"/>
    <w:qFormat/>
    <w:rPr>
      <w:color w:val="auto"/>
    </w:rPr>
  </w:style>
  <w:style w:type="character" w:styleId="ListLabel13">
    <w:name w:val="ListLabel 13"/>
    <w:qFormat/>
    <w:rPr>
      <w:color w:val="auto"/>
    </w:rPr>
  </w:style>
  <w:style w:type="character" w:styleId="ListLabel14">
    <w:name w:val="ListLabel 14"/>
    <w:qFormat/>
    <w:rPr>
      <w:b/>
    </w:rPr>
  </w:style>
  <w:style w:type="character" w:styleId="ListLabel15">
    <w:name w:val="ListLabel 15"/>
    <w:qFormat/>
    <w:rPr>
      <w:b w:val="false"/>
      <w:i w:val="false"/>
      <w:iCs/>
    </w:rPr>
  </w:style>
  <w:style w:type="character" w:styleId="ListLabel16">
    <w:name w:val="ListLabel 16"/>
    <w:qFormat/>
    <w:rPr>
      <w:rFonts w:cs="Arial"/>
      <w:b w:val="false"/>
      <w:i w:val="false"/>
      <w:iCs/>
      <w:color w:val="auto"/>
    </w:rPr>
  </w:style>
  <w:style w:type="character" w:styleId="ListLabel17">
    <w:name w:val="ListLabel 17"/>
    <w:qFormat/>
    <w:rPr>
      <w:i w:val="false"/>
      <w:color w:val="000000"/>
    </w:rPr>
  </w:style>
  <w:style w:type="character" w:styleId="ListLabel18">
    <w:name w:val="ListLabel 18"/>
    <w:qFormat/>
    <w:rPr>
      <w:i w:val="false"/>
      <w:color w:val="000000"/>
    </w:rPr>
  </w:style>
  <w:style w:type="character" w:styleId="ListLabel19">
    <w:name w:val="ListLabel 19"/>
    <w:qFormat/>
    <w:rPr>
      <w:i w:val="false"/>
      <w:color w:val="000000"/>
    </w:rPr>
  </w:style>
  <w:style w:type="character" w:styleId="ListLabel20">
    <w:name w:val="ListLabel 20"/>
    <w:qFormat/>
    <w:rPr>
      <w:i w:val="false"/>
      <w:color w:val="000000"/>
    </w:rPr>
  </w:style>
  <w:style w:type="character" w:styleId="ListLabel21">
    <w:name w:val="ListLabel 21"/>
    <w:qFormat/>
    <w:rPr>
      <w:i w:val="false"/>
      <w:color w:val="000000"/>
    </w:rPr>
  </w:style>
  <w:style w:type="character" w:styleId="ListLabel22">
    <w:name w:val="ListLabel 22"/>
    <w:qFormat/>
    <w:rPr>
      <w:i w:val="false"/>
      <w:color w:val="000000"/>
    </w:rPr>
  </w:style>
  <w:style w:type="character" w:styleId="ListLabel23">
    <w:name w:val="ListLabel 23"/>
    <w:qFormat/>
    <w:rPr>
      <w:i w:val="false"/>
      <w:color w:val="000000"/>
    </w:rPr>
  </w:style>
  <w:style w:type="character" w:styleId="ListLabel24">
    <w:name w:val="ListLabel 24"/>
    <w:qFormat/>
    <w:rPr>
      <w:i w:val="false"/>
      <w:color w:val="000000"/>
    </w:rPr>
  </w:style>
  <w:style w:type="character" w:styleId="ListLabel25">
    <w:name w:val="ListLabel 25"/>
    <w:qFormat/>
    <w:rPr>
      <w:i w:val="false"/>
      <w:color w:val="000000"/>
    </w:rPr>
  </w:style>
  <w:style w:type="character" w:styleId="ListLabel26">
    <w:name w:val="ListLabel 26"/>
    <w:qFormat/>
    <w:rPr>
      <w:b/>
    </w:rPr>
  </w:style>
  <w:style w:type="character" w:styleId="ListLabel27">
    <w:name w:val="ListLabel 27"/>
    <w:qFormat/>
    <w:rPr>
      <w:b w:val="false"/>
      <w:i w:val="false"/>
      <w:iCs/>
    </w:rPr>
  </w:style>
  <w:style w:type="character" w:styleId="ListLabel28">
    <w:name w:val="ListLabel 28"/>
    <w:qFormat/>
    <w:rPr>
      <w:rFonts w:cs="Arial"/>
      <w:b w:val="false"/>
      <w:i w:val="false"/>
      <w:iCs/>
      <w:color w:val="auto"/>
    </w:rPr>
  </w:style>
  <w:style w:type="character" w:styleId="ListLabel29">
    <w:name w:val="ListLabel 29"/>
    <w:qFormat/>
    <w:rPr>
      <w:b/>
    </w:rPr>
  </w:style>
  <w:style w:type="character" w:styleId="ListLabel30">
    <w:name w:val="ListLabel 30"/>
    <w:qFormat/>
    <w:rPr>
      <w:b w:val="false"/>
      <w:i w:val="false"/>
      <w:iCs/>
    </w:rPr>
  </w:style>
  <w:style w:type="character" w:styleId="ListLabel31">
    <w:name w:val="ListLabel 31"/>
    <w:qFormat/>
    <w:rPr>
      <w:rFonts w:cs="Arial"/>
      <w:b w:val="false"/>
      <w:i w:val="false"/>
      <w:iCs/>
      <w:color w:val="auto"/>
    </w:rPr>
  </w:style>
  <w:style w:type="character" w:styleId="ListLabel32">
    <w:name w:val="ListLabel 32"/>
    <w:qFormat/>
    <w:rPr>
      <w:b/>
    </w:rPr>
  </w:style>
  <w:style w:type="character" w:styleId="ListLabel33">
    <w:name w:val="ListLabel 33"/>
    <w:qFormat/>
    <w:rPr>
      <w:b w:val="false"/>
      <w:i w:val="false"/>
      <w:iCs/>
    </w:rPr>
  </w:style>
  <w:style w:type="character" w:styleId="ListLabel34">
    <w:name w:val="ListLabel 34"/>
    <w:qFormat/>
    <w:rPr>
      <w:rFonts w:cs="Arial"/>
      <w:b w:val="false"/>
      <w:i w:val="false"/>
      <w:iCs/>
      <w:color w:val="auto"/>
    </w:rPr>
  </w:style>
  <w:style w:type="character" w:styleId="ListLabel35">
    <w:name w:val="ListLabel 35"/>
    <w:qFormat/>
    <w:rPr>
      <w:b/>
    </w:rPr>
  </w:style>
  <w:style w:type="character" w:styleId="ListLabel36">
    <w:name w:val="ListLabel 36"/>
    <w:qFormat/>
    <w:rPr>
      <w:b w:val="false"/>
      <w:i w:val="false"/>
      <w:iCs/>
    </w:rPr>
  </w:style>
  <w:style w:type="character" w:styleId="ListLabel37">
    <w:name w:val="ListLabel 37"/>
    <w:qFormat/>
    <w:rPr>
      <w:rFonts w:cs="Arial"/>
      <w:b w:val="false"/>
      <w:i w:val="false"/>
      <w:iCs/>
      <w:color w:val="auto"/>
    </w:rPr>
  </w:style>
  <w:style w:type="character" w:styleId="ListLabel38">
    <w:name w:val="ListLabel 38"/>
    <w:qFormat/>
    <w:rPr>
      <w:b/>
    </w:rPr>
  </w:style>
  <w:style w:type="character" w:styleId="ListLabel39">
    <w:name w:val="ListLabel 39"/>
    <w:qFormat/>
    <w:rPr>
      <w:b w:val="false"/>
      <w:i w:val="false"/>
      <w:iCs/>
    </w:rPr>
  </w:style>
  <w:style w:type="character" w:styleId="ListLabel40">
    <w:name w:val="ListLabel 40"/>
    <w:qFormat/>
    <w:rPr>
      <w:rFonts w:cs="Arial"/>
      <w:b w:val="false"/>
      <w:i w:val="false"/>
      <w:iCs/>
      <w:color w:val="auto"/>
    </w:rPr>
  </w:style>
  <w:style w:type="character" w:styleId="ListLabel41">
    <w:name w:val="ListLabel 41"/>
    <w:qFormat/>
    <w:rPr>
      <w:b/>
      <w:i w:val="false"/>
      <w:strike w:val="false"/>
      <w:dstrike w:val="false"/>
    </w:rPr>
  </w:style>
  <w:style w:type="character" w:styleId="ListLabel42">
    <w:name w:val="ListLabel 42"/>
    <w:qFormat/>
    <w:rPr>
      <w:b w:val="false"/>
      <w:strike w:val="false"/>
      <w:dstrike w:val="false"/>
    </w:rPr>
  </w:style>
  <w:style w:type="character" w:styleId="ListLabel43">
    <w:name w:val="ListLabel 43"/>
    <w:qFormat/>
    <w:rPr>
      <w:i w:val="false"/>
      <w:strike w:val="false"/>
      <w:dstrike w:val="false"/>
    </w:rPr>
  </w:style>
  <w:style w:type="character" w:styleId="ListLabel44">
    <w:name w:val="ListLabel 44"/>
    <w:qFormat/>
    <w:rPr>
      <w:b w:val="false"/>
    </w:rPr>
  </w:style>
  <w:style w:type="character" w:styleId="ListLabel45">
    <w:name w:val="ListLabel 45"/>
    <w:qFormat/>
    <w:rPr>
      <w:b w:val="false"/>
    </w:rPr>
  </w:style>
  <w:style w:type="character" w:styleId="ListLabel46">
    <w:name w:val="ListLabel 46"/>
    <w:qFormat/>
    <w:rPr>
      <w:b w:val="false"/>
    </w:rPr>
  </w:style>
  <w:style w:type="character" w:styleId="ListLabel47">
    <w:name w:val="ListLabel 47"/>
    <w:qFormat/>
    <w:rPr>
      <w:b w:val="false"/>
    </w:rPr>
  </w:style>
  <w:style w:type="character" w:styleId="ListLabel48">
    <w:name w:val="ListLabel 48"/>
    <w:qFormat/>
    <w:rPr>
      <w:rFonts w:ascii="Arial" w:hAnsi="Arial"/>
      <w:b/>
    </w:rPr>
  </w:style>
  <w:style w:type="character" w:styleId="ListLabel49">
    <w:name w:val="ListLabel 49"/>
    <w:qFormat/>
    <w:rPr>
      <w:rFonts w:ascii="Arial" w:hAnsi="Arial"/>
      <w:b/>
    </w:rPr>
  </w:style>
  <w:style w:type="character" w:styleId="ListLabel50">
    <w:name w:val="ListLabel 50"/>
    <w:qFormat/>
    <w:rPr>
      <w:b/>
    </w:rPr>
  </w:style>
  <w:style w:type="character" w:styleId="ListLabel51">
    <w:name w:val="ListLabel 51"/>
    <w:qFormat/>
    <w:rPr>
      <w:b w:val="false"/>
      <w:i w:val="false"/>
      <w:iCs/>
    </w:rPr>
  </w:style>
  <w:style w:type="character" w:styleId="ListLabel52">
    <w:name w:val="ListLabel 52"/>
    <w:qFormat/>
    <w:rPr>
      <w:rFonts w:cs="Arial"/>
      <w:b w:val="false"/>
      <w:i w:val="false"/>
      <w:iCs/>
      <w:color w:val="auto"/>
    </w:rPr>
  </w:style>
  <w:style w:type="character" w:styleId="ListLabel53">
    <w:name w:val="ListLabel 53"/>
    <w:qFormat/>
    <w:rPr>
      <w:rFonts w:cs="Courier New"/>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b/>
    </w:rPr>
  </w:style>
  <w:style w:type="character" w:styleId="ListLabel57">
    <w:name w:val="ListLabel 57"/>
    <w:qFormat/>
    <w:rPr>
      <w:b w:val="false"/>
      <w:i w:val="false"/>
      <w:iCs/>
    </w:rPr>
  </w:style>
  <w:style w:type="character" w:styleId="ListLabel58">
    <w:name w:val="ListLabel 58"/>
    <w:qFormat/>
    <w:rPr>
      <w:rFonts w:cs="Arial"/>
      <w:b w:val="false"/>
      <w:i w:val="false"/>
      <w:iCs/>
      <w:color w:val="auto"/>
    </w:rPr>
  </w:style>
  <w:style w:type="character" w:styleId="ListLabel59">
    <w:name w:val="ListLabel 59"/>
    <w:qFormat/>
    <w:rPr>
      <w:rFonts w:eastAsia="" w:cs="Arial"/>
      <w:b/>
    </w:rPr>
  </w:style>
  <w:style w:type="character" w:styleId="ListLabel60">
    <w:name w:val="ListLabel 60"/>
    <w:qFormat/>
    <w:rPr>
      <w:b w:val="false"/>
      <w:i w:val="false"/>
      <w:iCs/>
    </w:rPr>
  </w:style>
  <w:style w:type="character" w:styleId="ListLabel61">
    <w:name w:val="ListLabel 61"/>
    <w:qFormat/>
    <w:rPr>
      <w:b w:val="false"/>
      <w:i w:val="false"/>
      <w:iCs/>
      <w:color w:val="auto"/>
    </w:rPr>
  </w:style>
  <w:style w:type="character" w:styleId="ListLabel62">
    <w:name w:val="ListLabel 62"/>
    <w:qFormat/>
    <w:rPr>
      <w:b/>
    </w:rPr>
  </w:style>
  <w:style w:type="character" w:styleId="ListLabel63">
    <w:name w:val="ListLabel 63"/>
    <w:qFormat/>
    <w:rPr>
      <w:b w:val="false"/>
      <w:i w:val="false"/>
      <w:iCs/>
    </w:rPr>
  </w:style>
  <w:style w:type="character" w:styleId="ListLabel64">
    <w:name w:val="ListLabel 64"/>
    <w:qFormat/>
    <w:rPr>
      <w:rFonts w:cs="Arial"/>
      <w:b w:val="false"/>
      <w:i w:val="false"/>
      <w:iCs/>
      <w:color w:val="auto"/>
    </w:rPr>
  </w:style>
  <w:style w:type="character" w:styleId="ListLabel65">
    <w:name w:val="ListLabel 65"/>
    <w:qFormat/>
    <w:rPr>
      <w:b/>
    </w:rPr>
  </w:style>
  <w:style w:type="character" w:styleId="ListLabel66">
    <w:name w:val="ListLabel 66"/>
    <w:qFormat/>
    <w:rPr>
      <w:b w:val="false"/>
      <w:i w:val="false"/>
      <w:iCs/>
    </w:rPr>
  </w:style>
  <w:style w:type="character" w:styleId="ListLabel67">
    <w:name w:val="ListLabel 67"/>
    <w:qFormat/>
    <w:rPr>
      <w:rFonts w:cs="Arial"/>
      <w:b w:val="false"/>
      <w:i w:val="false"/>
      <w:iCs/>
      <w:color w:val="auto"/>
    </w:rPr>
  </w:style>
  <w:style w:type="character" w:styleId="ListLabel68">
    <w:name w:val="ListLabel 68"/>
    <w:qFormat/>
    <w:rPr>
      <w:b/>
    </w:rPr>
  </w:style>
  <w:style w:type="character" w:styleId="ListLabel69">
    <w:name w:val="ListLabel 69"/>
    <w:qFormat/>
    <w:rPr>
      <w:b w:val="false"/>
      <w:i w:val="false"/>
      <w:iCs/>
    </w:rPr>
  </w:style>
  <w:style w:type="character" w:styleId="ListLabel70">
    <w:name w:val="ListLabel 70"/>
    <w:qFormat/>
    <w:rPr>
      <w:b w:val="false"/>
      <w:i w:val="false"/>
      <w:iCs/>
      <w:color w:val="auto"/>
    </w:rPr>
  </w:style>
  <w:style w:type="character" w:styleId="ListLabel71">
    <w:name w:val="ListLabel 71"/>
    <w:qFormat/>
    <w:rPr>
      <w:rFonts w:eastAsia="Calibri" w:cs="Arial"/>
      <w:szCs w:val="20"/>
    </w:rPr>
  </w:style>
  <w:style w:type="character" w:styleId="ListLabel72">
    <w:name w:val="ListLabel 72"/>
    <w:qFormat/>
    <w:rPr>
      <w:rFonts w:eastAsia="Calibri" w:cs="Arial"/>
      <w:lang w:eastAsia="ar-SA"/>
    </w:rPr>
  </w:style>
  <w:style w:type="character" w:styleId="ListLabel73">
    <w:name w:val="ListLabel 73"/>
    <w:qFormat/>
    <w:rPr>
      <w:color w:val="000000"/>
    </w:rPr>
  </w:style>
  <w:style w:type="character" w:styleId="ListLabel74">
    <w:name w:val="ListLabel 74"/>
    <w:qFormat/>
    <w:rPr>
      <w:rFonts w:ascii="Arial" w:hAnsi="Arial"/>
      <w:b/>
    </w:rPr>
  </w:style>
  <w:style w:type="character" w:styleId="ListLabel75">
    <w:name w:val="ListLabel 75"/>
    <w:qFormat/>
    <w:rPr>
      <w:rFonts w:ascii="Arial" w:hAnsi="Arial"/>
      <w:b/>
      <w:i w:val="false"/>
      <w:iCs/>
    </w:rPr>
  </w:style>
  <w:style w:type="character" w:styleId="ListLabel76">
    <w:name w:val="ListLabel 76"/>
    <w:qFormat/>
    <w:rPr>
      <w:rFonts w:ascii="Arial" w:hAnsi="Arial" w:cs="Arial"/>
      <w:b/>
      <w:i w:val="false"/>
      <w:iCs/>
      <w:color w:val="auto"/>
    </w:rPr>
  </w:style>
  <w:style w:type="character" w:styleId="ListLabel77">
    <w:name w:val="ListLabel 77"/>
    <w:qFormat/>
    <w:rPr>
      <w:rFonts w:ascii="Arial" w:hAnsi="Arial"/>
      <w:b/>
    </w:rPr>
  </w:style>
  <w:style w:type="character" w:styleId="ListLabel78">
    <w:name w:val="ListLabel 78"/>
    <w:qFormat/>
    <w:rPr>
      <w:rFonts w:ascii="Arial" w:hAnsi="Arial"/>
      <w:b/>
    </w:rPr>
  </w:style>
  <w:style w:type="character" w:styleId="ListLabel79">
    <w:name w:val="ListLabel 79"/>
    <w:qFormat/>
    <w:rPr>
      <w:b/>
    </w:rPr>
  </w:style>
  <w:style w:type="character" w:styleId="ListLabel80">
    <w:name w:val="ListLabel 80"/>
    <w:qFormat/>
    <w:rPr>
      <w:b w:val="false"/>
      <w:i w:val="false"/>
      <w:iCs/>
    </w:rPr>
  </w:style>
  <w:style w:type="character" w:styleId="ListLabel81">
    <w:name w:val="ListLabel 81"/>
    <w:qFormat/>
    <w:rPr>
      <w:rFonts w:cs="Arial"/>
      <w:b w:val="false"/>
      <w:i w:val="false"/>
      <w:iCs/>
      <w:color w:val="auto"/>
    </w:rPr>
  </w:style>
  <w:style w:type="character" w:styleId="ListLabel82">
    <w:name w:val="ListLabel 82"/>
    <w:qFormat/>
    <w:rPr>
      <w:b/>
    </w:rPr>
  </w:style>
  <w:style w:type="character" w:styleId="ListLabel83">
    <w:name w:val="ListLabel 83"/>
    <w:qFormat/>
    <w:rPr>
      <w:b w:val="false"/>
      <w:i w:val="false"/>
      <w:iCs/>
    </w:rPr>
  </w:style>
  <w:style w:type="character" w:styleId="ListLabel84">
    <w:name w:val="ListLabel 84"/>
    <w:qFormat/>
    <w:rPr>
      <w:b w:val="false"/>
      <w:i w:val="false"/>
      <w:iCs/>
      <w:color w:val="auto"/>
    </w:rPr>
  </w:style>
  <w:style w:type="character" w:styleId="ListLabel85">
    <w:name w:val="ListLabel 85"/>
    <w:qFormat/>
    <w:rPr>
      <w:rFonts w:eastAsia="Calibri" w:cs="Arial"/>
      <w:szCs w:val="20"/>
    </w:rPr>
  </w:style>
  <w:style w:type="character" w:styleId="ListLabel86">
    <w:name w:val="ListLabel 86"/>
    <w:qFormat/>
    <w:rPr>
      <w:rFonts w:eastAsia="Calibri" w:cs="Arial"/>
      <w:lang w:eastAsia="ar-SA"/>
    </w:rPr>
  </w:style>
  <w:style w:type="character" w:styleId="ListLabel87">
    <w:name w:val="ListLabel 87"/>
    <w:qFormat/>
    <w:rPr>
      <w:color w:val="000000"/>
    </w:rPr>
  </w:style>
  <w:style w:type="character" w:styleId="ListLabel88">
    <w:name w:val="ListLabel 88"/>
    <w:qFormat/>
    <w:rPr>
      <w:rFonts w:ascii="Arial" w:hAnsi="Arial"/>
      <w:b/>
    </w:rPr>
  </w:style>
  <w:style w:type="character" w:styleId="ListLabel89">
    <w:name w:val="ListLabel 89"/>
    <w:qFormat/>
    <w:rPr>
      <w:rFonts w:ascii="Arial" w:hAnsi="Arial"/>
      <w:b/>
      <w:i w:val="false"/>
      <w:iCs/>
    </w:rPr>
  </w:style>
  <w:style w:type="character" w:styleId="ListLabel90">
    <w:name w:val="ListLabel 90"/>
    <w:qFormat/>
    <w:rPr>
      <w:rFonts w:ascii="Arial" w:hAnsi="Arial" w:cs="Arial"/>
      <w:b/>
      <w:i w:val="false"/>
      <w:iCs/>
      <w:color w:val="auto"/>
    </w:rPr>
  </w:style>
  <w:style w:type="character" w:styleId="ListLabel91">
    <w:name w:val="ListLabel 91"/>
    <w:qFormat/>
    <w:rPr>
      <w:rFonts w:ascii="Arial" w:hAnsi="Arial"/>
      <w:b/>
    </w:rPr>
  </w:style>
  <w:style w:type="character" w:styleId="ListLabel92">
    <w:name w:val="ListLabel 92"/>
    <w:qFormat/>
    <w:rPr>
      <w:rFonts w:ascii="Arial" w:hAnsi="Arial"/>
      <w:b/>
    </w:rPr>
  </w:style>
  <w:style w:type="character" w:styleId="ListLabel93">
    <w:name w:val="ListLabel 93"/>
    <w:qFormat/>
    <w:rPr>
      <w:b/>
    </w:rPr>
  </w:style>
  <w:style w:type="character" w:styleId="ListLabel94">
    <w:name w:val="ListLabel 94"/>
    <w:qFormat/>
    <w:rPr>
      <w:b w:val="false"/>
      <w:i w:val="false"/>
      <w:iCs/>
    </w:rPr>
  </w:style>
  <w:style w:type="character" w:styleId="ListLabel95">
    <w:name w:val="ListLabel 95"/>
    <w:qFormat/>
    <w:rPr>
      <w:rFonts w:cs="Arial"/>
      <w:b w:val="false"/>
      <w:i w:val="false"/>
      <w:iCs/>
      <w:color w:val="auto"/>
    </w:rPr>
  </w:style>
  <w:style w:type="character" w:styleId="ListLabel96">
    <w:name w:val="ListLabel 96"/>
    <w:qFormat/>
    <w:rPr>
      <w:b/>
    </w:rPr>
  </w:style>
  <w:style w:type="character" w:styleId="ListLabel97">
    <w:name w:val="ListLabel 97"/>
    <w:qFormat/>
    <w:rPr>
      <w:b w:val="false"/>
      <w:i w:val="false"/>
      <w:iCs/>
    </w:rPr>
  </w:style>
  <w:style w:type="character" w:styleId="ListLabel98">
    <w:name w:val="ListLabel 98"/>
    <w:qFormat/>
    <w:rPr>
      <w:b w:val="false"/>
      <w:i w:val="false"/>
      <w:iCs/>
      <w:color w:val="auto"/>
    </w:rPr>
  </w:style>
  <w:style w:type="character" w:styleId="ListLabel99">
    <w:name w:val="ListLabel 99"/>
    <w:qFormat/>
    <w:rPr>
      <w:rFonts w:eastAsia="Calibri" w:cs="Arial"/>
      <w:szCs w:val="20"/>
    </w:rPr>
  </w:style>
  <w:style w:type="character" w:styleId="ListLabel100">
    <w:name w:val="ListLabel 100"/>
    <w:qFormat/>
    <w:rPr>
      <w:rFonts w:eastAsia="Calibri" w:cs="Arial"/>
      <w:lang w:eastAsia="ar-SA"/>
    </w:rPr>
  </w:style>
  <w:style w:type="character" w:styleId="ListLabel101">
    <w:name w:val="ListLabel 101"/>
    <w:qFormat/>
    <w:rPr>
      <w:color w:val="000000"/>
    </w:rPr>
  </w:style>
  <w:style w:type="character" w:styleId="ListLabel102">
    <w:name w:val="ListLabel 102"/>
    <w:qFormat/>
    <w:rPr>
      <w:rFonts w:ascii="Arial" w:hAnsi="Arial"/>
      <w:b/>
    </w:rPr>
  </w:style>
  <w:style w:type="character" w:styleId="ListLabel103">
    <w:name w:val="ListLabel 103"/>
    <w:qFormat/>
    <w:rPr>
      <w:rFonts w:ascii="Arial" w:hAnsi="Arial"/>
      <w:b/>
      <w:i w:val="false"/>
      <w:iCs/>
    </w:rPr>
  </w:style>
  <w:style w:type="character" w:styleId="ListLabel104">
    <w:name w:val="ListLabel 104"/>
    <w:qFormat/>
    <w:rPr>
      <w:rFonts w:ascii="Arial" w:hAnsi="Arial" w:cs="Arial"/>
      <w:b/>
      <w:i w:val="false"/>
      <w:iCs/>
      <w:color w:val="auto"/>
    </w:rPr>
  </w:style>
  <w:style w:type="character" w:styleId="ListLabel105">
    <w:name w:val="ListLabel 105"/>
    <w:qFormat/>
    <w:rPr>
      <w:rFonts w:ascii="Arial" w:hAnsi="Arial"/>
      <w:b/>
    </w:rPr>
  </w:style>
  <w:style w:type="character" w:styleId="ListLabel106">
    <w:name w:val="ListLabel 106"/>
    <w:qFormat/>
    <w:rPr>
      <w:rFonts w:ascii="Arial" w:hAnsi="Arial"/>
      <w:b/>
    </w:rPr>
  </w:style>
  <w:style w:type="character" w:styleId="ListLabel107">
    <w:name w:val="ListLabel 107"/>
    <w:qFormat/>
    <w:rPr>
      <w:b/>
    </w:rPr>
  </w:style>
  <w:style w:type="character" w:styleId="ListLabel108">
    <w:name w:val="ListLabel 108"/>
    <w:qFormat/>
    <w:rPr>
      <w:b w:val="false"/>
      <w:i w:val="false"/>
      <w:iCs/>
    </w:rPr>
  </w:style>
  <w:style w:type="character" w:styleId="ListLabel109">
    <w:name w:val="ListLabel 109"/>
    <w:qFormat/>
    <w:rPr>
      <w:rFonts w:cs="Arial"/>
      <w:b w:val="false"/>
      <w:i w:val="false"/>
      <w:iCs/>
      <w:color w:val="auto"/>
    </w:rPr>
  </w:style>
  <w:style w:type="character" w:styleId="ListLabel110">
    <w:name w:val="ListLabel 110"/>
    <w:qFormat/>
    <w:rPr>
      <w:b/>
    </w:rPr>
  </w:style>
  <w:style w:type="character" w:styleId="ListLabel111">
    <w:name w:val="ListLabel 111"/>
    <w:qFormat/>
    <w:rPr>
      <w:b w:val="false"/>
      <w:i w:val="false"/>
      <w:iCs/>
    </w:rPr>
  </w:style>
  <w:style w:type="character" w:styleId="ListLabel112">
    <w:name w:val="ListLabel 112"/>
    <w:qFormat/>
    <w:rPr>
      <w:b w:val="false"/>
      <w:i w:val="false"/>
      <w:iCs/>
      <w:color w:val="auto"/>
    </w:rPr>
  </w:style>
  <w:style w:type="character" w:styleId="ListLabel113">
    <w:name w:val="ListLabel 113"/>
    <w:qFormat/>
    <w:rPr>
      <w:rFonts w:eastAsia="Calibri" w:cs="Arial"/>
      <w:szCs w:val="20"/>
    </w:rPr>
  </w:style>
  <w:style w:type="character" w:styleId="ListLabel114">
    <w:name w:val="ListLabel 114"/>
    <w:qFormat/>
    <w:rPr>
      <w:rFonts w:eastAsia="Calibri" w:cs="Arial"/>
      <w:lang w:eastAsia="ar-SA"/>
    </w:rPr>
  </w:style>
  <w:style w:type="character" w:styleId="ListLabel115">
    <w:name w:val="ListLabel 115"/>
    <w:qFormat/>
    <w:rPr>
      <w:color w:val="000000"/>
    </w:rPr>
  </w:style>
  <w:style w:type="paragraph" w:styleId="Ttulo">
    <w:name w:val="Título"/>
    <w:basedOn w:val="Normal"/>
    <w:next w:val="Corpodotexto"/>
    <w:qFormat/>
    <w:pPr>
      <w:keepNext w:val="true"/>
      <w:spacing w:before="240" w:after="120"/>
    </w:pPr>
    <w:rPr>
      <w:rFonts w:ascii="Liberation Sans" w:hAnsi="Liberation Sans" w:eastAsia="Liberation Sans" w:cs="Free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link w:val="citao2Char"/>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next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
    <w:name w:val="Header"/>
    <w:basedOn w:val="Normal"/>
    <w:link w:val="CabealhoChar"/>
    <w:uiPriority w:val="99"/>
    <w:unhideWhenUsed/>
    <w:rsid w:val="00805244"/>
    <w:pPr>
      <w:tabs>
        <w:tab w:val="clear" w:pos="708"/>
        <w:tab w:val="center" w:pos="4252" w:leader="none"/>
        <w:tab w:val="right" w:pos="8504" w:leader="none"/>
      </w:tabs>
    </w:pPr>
    <w:rPr/>
  </w:style>
  <w:style w:type="paragraph" w:styleId="Rodap">
    <w:name w:val="Footer"/>
    <w:basedOn w:val="Normal"/>
    <w:link w:val="RodapChar"/>
    <w:uiPriority w:val="99"/>
    <w:unhideWhenUsed/>
    <w:rsid w:val="00805244"/>
    <w:pPr>
      <w:tabs>
        <w:tab w:val="clear" w:pos="708"/>
        <w:tab w:val="center" w:pos="4252" w:leader="none"/>
        <w:tab w:val="right" w:pos="8504" w:leader="none"/>
      </w:tabs>
    </w:pPr>
    <w:rPr/>
  </w:style>
  <w:style w:type="paragraph" w:styleId="NoSpacing">
    <w:name w:val="No Spacing"/>
    <w:qFormat/>
    <w:rsid w:val="00f810ca"/>
    <w:pPr>
      <w:widowControl/>
      <w:suppressAutoHyphens w:val="true"/>
      <w:bidi w:val="0"/>
      <w:spacing w:lineRule="auto" w:line="240" w:before="0" w:after="0"/>
      <w:jc w:val="left"/>
    </w:pPr>
    <w:rPr>
      <w:rFonts w:ascii="Calibri" w:hAnsi="Calibri" w:eastAsia="Calibri" w:cs="Calibri"/>
      <w:color w:val="00000A"/>
      <w:kern w:val="0"/>
      <w:sz w:val="20"/>
      <w:szCs w:val="22"/>
      <w:lang w:val="pt-BR" w:eastAsia="zh-CN" w:bidi="ar-SA"/>
    </w:rPr>
  </w:style>
  <w:style w:type="paragraph" w:styleId="TableParagraph" w:customStyle="1">
    <w:name w:val="Table Paragraph"/>
    <w:basedOn w:val="Normal"/>
    <w:uiPriority w:val="1"/>
    <w:qFormat/>
    <w:rsid w:val="0007041c"/>
    <w:pPr>
      <w:ind w:left="357" w:hanging="0"/>
    </w:pPr>
    <w:rPr>
      <w:rFonts w:ascii="Calibri" w:hAnsi="Calibri" w:eastAsia="Calibri" w:cs="Calibri"/>
      <w:sz w:val="22"/>
      <w:szCs w:val="22"/>
      <w:lang w:eastAsia="en-US"/>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Default">
    <w:name w:val="Default"/>
    <w:qFormat/>
    <w:pPr>
      <w:widowControl/>
      <w:bidi w:val="0"/>
      <w:spacing w:lineRule="auto" w:line="240" w:before="0" w:after="0"/>
      <w:jc w:val="left"/>
    </w:pPr>
    <w:rPr>
      <w:rFonts w:ascii="Cambria" w:hAnsi="Cambria" w:eastAsia="Calibri" w:cs="Cambria"/>
      <w:color w:val="000000"/>
      <w:kern w:val="0"/>
      <w:sz w:val="24"/>
      <w:szCs w:val="24"/>
      <w:lang w:val="pt-BR" w:eastAsia="en-US"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gif"/><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Application>LibreOffice/6.1.1.2$Linux_X86_64 LibreOffice_project/5d19a1bfa650b796764388cd8b33a5af1f5baa1b</Application>
  <Pages>18</Pages>
  <Words>5954</Words>
  <Characters>34178</Characters>
  <CharactersWithSpaces>39694</CharactersWithSpaces>
  <Paragraphs>278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2021-09-22T14:42:00Z</dcterms:created>
  <dc:creator>Hugo Sales</dc:creator>
  <dc:description/>
  <dc:language>pt-BR</dc:language>
  <cp:lastModifiedBy/>
  <dcterms:modified xsi:type="dcterms:W3CDTF">2021-10-08T08:33:49Z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